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75432EC3" w:rsidR="001C20C1" w:rsidRDefault="001C20C1" w:rsidP="001C20C1">
            <w:r>
              <w:t>202</w:t>
            </w:r>
            <w:r w:rsidR="00E44E65">
              <w:t>6</w:t>
            </w:r>
            <w:r w:rsidR="000543EB">
              <w:t xml:space="preserve"> m. </w:t>
            </w:r>
            <w:r w:rsidR="005D22CC">
              <w:t>gegužės</w:t>
            </w:r>
            <w:r w:rsidR="000543EB">
              <w:t xml:space="preserve"> </w:t>
            </w:r>
            <w:r w:rsidR="00E44E65">
              <w:t>2</w:t>
            </w:r>
            <w:r w:rsidR="005D22CC">
              <w:t>8</w:t>
            </w:r>
            <w:r w:rsidR="000543EB">
              <w:t xml:space="preserve"> d.</w:t>
            </w:r>
            <w:r>
              <w:t xml:space="preserve"> sprendi</w:t>
            </w:r>
            <w:r w:rsidR="00683365">
              <w:t>mo</w:t>
            </w:r>
            <w:r>
              <w:t xml:space="preserve"> Nr.</w:t>
            </w:r>
            <w:r w:rsidR="002D2303">
              <w:t xml:space="preserve"> T2-</w:t>
            </w:r>
            <w:r w:rsidR="00873070">
              <w:t>164</w:t>
            </w:r>
          </w:p>
          <w:p w14:paraId="426ED662" w14:textId="7A0E2C8A" w:rsidR="001C20C1" w:rsidRPr="00A8151A" w:rsidRDefault="00745C46" w:rsidP="001C20C1">
            <w:r>
              <w:t>7</w:t>
            </w:r>
            <w:r w:rsidR="00683365">
              <w:t xml:space="preserve"> priedas</w:t>
            </w:r>
          </w:p>
          <w:p w14:paraId="4A6E77F3" w14:textId="77777777" w:rsidR="001C20C1" w:rsidRDefault="001C20C1" w:rsidP="001C20C1">
            <w:pPr>
              <w:ind w:right="2663"/>
              <w:jc w:val="right"/>
            </w:pPr>
          </w:p>
        </w:tc>
      </w:tr>
    </w:tbl>
    <w:p w14:paraId="4E8A2ACC" w14:textId="77777777" w:rsidR="00745C46" w:rsidRPr="00FB4FEF" w:rsidRDefault="00745C46" w:rsidP="00745C46">
      <w:pPr>
        <w:pBdr>
          <w:top w:val="nil"/>
          <w:left w:val="nil"/>
          <w:bottom w:val="nil"/>
          <w:right w:val="nil"/>
          <w:between w:val="nil"/>
        </w:pBdr>
        <w:rPr>
          <w:color w:val="000000"/>
        </w:rPr>
      </w:pPr>
      <w:r w:rsidRPr="00FB4FEF">
        <w:rPr>
          <w:b/>
          <w:bCs/>
          <w:color w:val="000000"/>
        </w:rPr>
        <w:t xml:space="preserve">24 lentelė. </w:t>
      </w:r>
      <w:r w:rsidRPr="00FB4FEF">
        <w:rPr>
          <w:color w:val="000000"/>
        </w:rPr>
        <w:t>8 Švietimo programos priemonės</w:t>
      </w:r>
    </w:p>
    <w:p w14:paraId="2598A0EA" w14:textId="77777777" w:rsidR="00745C46" w:rsidRPr="00FB4FEF" w:rsidRDefault="00745C46" w:rsidP="00745C46">
      <w:pPr>
        <w:rPr>
          <w:color w:val="EE0000"/>
        </w:rPr>
      </w:pPr>
    </w:p>
    <w:tbl>
      <w:tblPr>
        <w:tblW w:w="14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0"/>
      </w:tblGrid>
      <w:tr w:rsidR="00745C46" w:rsidRPr="00FB4FEF" w14:paraId="26928EB1" w14:textId="77777777" w:rsidTr="00313447">
        <w:trPr>
          <w:jc w:val="center"/>
        </w:trPr>
        <w:tc>
          <w:tcPr>
            <w:tcW w:w="14560" w:type="dxa"/>
            <w:shd w:val="clear" w:color="auto" w:fill="DBE5F1"/>
          </w:tcPr>
          <w:p w14:paraId="6B61EB73" w14:textId="77777777" w:rsidR="00745C46" w:rsidRPr="00FB4FEF" w:rsidRDefault="00745C46" w:rsidP="00313447">
            <w:pPr>
              <w:tabs>
                <w:tab w:val="left" w:pos="34"/>
                <w:tab w:val="left" w:pos="284"/>
                <w:tab w:val="left" w:pos="851"/>
              </w:tabs>
              <w:jc w:val="both"/>
              <w:rPr>
                <w:b/>
                <w:bCs/>
                <w:sz w:val="22"/>
                <w:szCs w:val="22"/>
              </w:rPr>
            </w:pPr>
            <w:r w:rsidRPr="00FB4FEF">
              <w:rPr>
                <w:b/>
                <w:bCs/>
                <w:sz w:val="22"/>
                <w:szCs w:val="22"/>
              </w:rPr>
              <w:t>8-1-2-1-9 Priemonė. Ugdymo įstaigų informacinių technologijų bazių stiprinimas</w:t>
            </w:r>
          </w:p>
        </w:tc>
      </w:tr>
      <w:tr w:rsidR="00745C46" w:rsidRPr="00FB4FEF" w14:paraId="3E8794C0" w14:textId="77777777" w:rsidTr="00313447">
        <w:trPr>
          <w:jc w:val="center"/>
        </w:trPr>
        <w:tc>
          <w:tcPr>
            <w:tcW w:w="14560" w:type="dxa"/>
          </w:tcPr>
          <w:p w14:paraId="5F78F623" w14:textId="77777777" w:rsidR="00745C46" w:rsidRPr="00FB4FEF" w:rsidRDefault="00745C46" w:rsidP="00313447">
            <w:pPr>
              <w:pBdr>
                <w:top w:val="nil"/>
                <w:left w:val="nil"/>
                <w:bottom w:val="nil"/>
                <w:right w:val="nil"/>
                <w:between w:val="nil"/>
              </w:pBdr>
              <w:tabs>
                <w:tab w:val="left" w:pos="462"/>
              </w:tabs>
              <w:jc w:val="both"/>
              <w:rPr>
                <w:color w:val="000000"/>
                <w:sz w:val="22"/>
                <w:szCs w:val="22"/>
              </w:rPr>
            </w:pPr>
            <w:r w:rsidRPr="00FB4FEF">
              <w:rPr>
                <w:color w:val="000000"/>
                <w:sz w:val="22"/>
                <w:szCs w:val="22"/>
              </w:rPr>
              <w:t>Lėšos planuojamos kompiuterinės įrangos, skirtos ugdymo(si) procesui vykdyti, sistemingam atnaujinimui. Savivaldybės bendrojo ugdymo mokyklose bus atnaujinami 6 metų ir senesni stacionarūs ir nešiojami kompiuteriai bei mokyklų IKT bazė, būtina veiksmingam ugdymo procesui užtikrinti ir tinkamai organizuoti NPP, PUPP bei valstybinių brandos egzaminų, kuriuos sudaro tarpiniai brandos egzaminai 3-iose gimnazijos klasėse, patikrinimų vykdymui. Informacinių technologijų pamokose vienam mokiniui skiriamas vienas kompiuteris, kitose pamokose vienas kompiuteris 2–3 mokiniams.</w:t>
            </w:r>
          </w:p>
        </w:tc>
      </w:tr>
      <w:tr w:rsidR="00745C46" w:rsidRPr="00FB4FEF" w14:paraId="43822A4E" w14:textId="77777777" w:rsidTr="00313447">
        <w:trPr>
          <w:jc w:val="center"/>
        </w:trPr>
        <w:tc>
          <w:tcPr>
            <w:tcW w:w="14560" w:type="dxa"/>
            <w:shd w:val="clear" w:color="auto" w:fill="DBE5F1"/>
          </w:tcPr>
          <w:p w14:paraId="72626323" w14:textId="77777777" w:rsidR="00745C46" w:rsidRPr="00FB4FEF" w:rsidRDefault="00745C46" w:rsidP="00313447">
            <w:pPr>
              <w:tabs>
                <w:tab w:val="left" w:pos="34"/>
                <w:tab w:val="left" w:pos="284"/>
                <w:tab w:val="left" w:pos="851"/>
              </w:tabs>
              <w:jc w:val="both"/>
              <w:rPr>
                <w:sz w:val="22"/>
                <w:szCs w:val="22"/>
              </w:rPr>
            </w:pPr>
            <w:r w:rsidRPr="00FB4FEF">
              <w:rPr>
                <w:b/>
                <w:bCs/>
                <w:sz w:val="22"/>
                <w:szCs w:val="22"/>
              </w:rPr>
              <w:t>8-1-2-1-10 Priemonė. Mokyklų aprūpinimas autobusais</w:t>
            </w:r>
          </w:p>
        </w:tc>
      </w:tr>
      <w:tr w:rsidR="00745C46" w:rsidRPr="00FB4FEF" w14:paraId="05924456" w14:textId="77777777" w:rsidTr="00313447">
        <w:trPr>
          <w:jc w:val="center"/>
        </w:trPr>
        <w:tc>
          <w:tcPr>
            <w:tcW w:w="14560" w:type="dxa"/>
          </w:tcPr>
          <w:p w14:paraId="739DBE16" w14:textId="3451AD11" w:rsidR="00745C46" w:rsidRPr="00FB4FEF" w:rsidRDefault="00745C46" w:rsidP="00313447">
            <w:pPr>
              <w:tabs>
                <w:tab w:val="left" w:pos="34"/>
                <w:tab w:val="left" w:pos="284"/>
                <w:tab w:val="left" w:pos="360"/>
              </w:tabs>
              <w:jc w:val="both"/>
              <w:rPr>
                <w:sz w:val="22"/>
                <w:szCs w:val="22"/>
              </w:rPr>
            </w:pPr>
            <w:r w:rsidRPr="00FB4FEF">
              <w:rPr>
                <w:sz w:val="22"/>
                <w:szCs w:val="22"/>
              </w:rPr>
              <w:t>Priemonė skirta aprūpinti savivaldybės švietimo įstaigas mokykliniais autobusais, sistemingai atnaujinant nusidėvėjusius ir pasenusius švietimo įstaigų  mokyklinius autobusus ir gerinti kaimo vietovėse gyvenančių mokinių, specialiųjų ugdymosi poreikių turinčių mokinių ir vaikų, kuriems ikimokyklinis ir bendrasis ugdymas privalomas, pavėžėjimo į mokyklas sąlygas. 2026 m. planuojama įsigyti mokyklinį autobusą</w:t>
            </w:r>
            <w:r w:rsidR="00AB4EC0">
              <w:rPr>
                <w:sz w:val="22"/>
                <w:szCs w:val="22"/>
              </w:rPr>
              <w:t>, skirtą</w:t>
            </w:r>
            <w:r w:rsidRPr="00FB4FEF">
              <w:rPr>
                <w:sz w:val="22"/>
                <w:szCs w:val="22"/>
              </w:rPr>
              <w:t xml:space="preserve"> Kretingos Marijono Daujoto progimnazijai</w:t>
            </w:r>
            <w:r w:rsidR="00AB4EC0">
              <w:rPr>
                <w:sz w:val="22"/>
                <w:szCs w:val="22"/>
              </w:rPr>
              <w:t>,</w:t>
            </w:r>
            <w:r w:rsidRPr="00FB4FEF">
              <w:rPr>
                <w:sz w:val="22"/>
                <w:szCs w:val="22"/>
              </w:rPr>
              <w:t xml:space="preserve"> ir </w:t>
            </w:r>
            <w:r w:rsidR="00AB4EC0" w:rsidRPr="00FB4FEF">
              <w:rPr>
                <w:sz w:val="22"/>
                <w:szCs w:val="22"/>
              </w:rPr>
              <w:t>9-ių vietų mikroautobusą</w:t>
            </w:r>
            <w:r w:rsidR="00AB4EC0">
              <w:rPr>
                <w:sz w:val="22"/>
                <w:szCs w:val="22"/>
              </w:rPr>
              <w:t>, skirtą</w:t>
            </w:r>
            <w:r w:rsidR="00AB4EC0" w:rsidRPr="00FB4FEF">
              <w:rPr>
                <w:sz w:val="22"/>
                <w:szCs w:val="22"/>
              </w:rPr>
              <w:t xml:space="preserve"> </w:t>
            </w:r>
            <w:r w:rsidRPr="00FB4FEF">
              <w:rPr>
                <w:sz w:val="22"/>
                <w:szCs w:val="22"/>
              </w:rPr>
              <w:t>Klaipėdos Ernesto Galvanausko profesinio mokymo centro Kretingos filialui, 2027 m. – Kretingos rajono Darbėnų gimnazijai, 2028 m. Kretingos Jurgio Pabrėžos universitetinei gimnazijai.</w:t>
            </w:r>
          </w:p>
        </w:tc>
      </w:tr>
      <w:tr w:rsidR="00745C46" w:rsidRPr="00FB4FEF" w14:paraId="58D73A19" w14:textId="77777777" w:rsidTr="00313447">
        <w:trPr>
          <w:jc w:val="center"/>
        </w:trPr>
        <w:tc>
          <w:tcPr>
            <w:tcW w:w="14560" w:type="dxa"/>
            <w:shd w:val="clear" w:color="auto" w:fill="DBE5F1"/>
          </w:tcPr>
          <w:p w14:paraId="575451E9" w14:textId="77777777" w:rsidR="00745C46" w:rsidRPr="00FB4FEF" w:rsidRDefault="00745C46" w:rsidP="00313447">
            <w:pPr>
              <w:tabs>
                <w:tab w:val="left" w:pos="34"/>
                <w:tab w:val="left" w:pos="284"/>
                <w:tab w:val="left" w:pos="360"/>
              </w:tabs>
              <w:jc w:val="both"/>
              <w:rPr>
                <w:b/>
                <w:bCs/>
                <w:sz w:val="22"/>
                <w:szCs w:val="22"/>
              </w:rPr>
            </w:pPr>
            <w:r w:rsidRPr="00FB4FEF">
              <w:rPr>
                <w:b/>
                <w:bCs/>
                <w:sz w:val="22"/>
                <w:szCs w:val="22"/>
              </w:rPr>
              <w:t>8-1-2-1-11 Priemonė. Kretingos rajono pirmokų aprūpinimas kanceliarinėmis priemonėmis</w:t>
            </w:r>
          </w:p>
        </w:tc>
      </w:tr>
      <w:tr w:rsidR="00745C46" w:rsidRPr="00FB4FEF" w14:paraId="577884A9" w14:textId="77777777" w:rsidTr="00313447">
        <w:trPr>
          <w:jc w:val="center"/>
        </w:trPr>
        <w:tc>
          <w:tcPr>
            <w:tcW w:w="14560" w:type="dxa"/>
          </w:tcPr>
          <w:p w14:paraId="53DCC4D8" w14:textId="77777777" w:rsidR="00745C46" w:rsidRPr="00FB4FEF" w:rsidRDefault="00745C46" w:rsidP="00313447">
            <w:pPr>
              <w:tabs>
                <w:tab w:val="left" w:pos="34"/>
                <w:tab w:val="left" w:pos="284"/>
                <w:tab w:val="left" w:pos="360"/>
              </w:tabs>
              <w:jc w:val="both"/>
              <w:rPr>
                <w:b/>
                <w:bCs/>
                <w:sz w:val="22"/>
                <w:szCs w:val="22"/>
              </w:rPr>
            </w:pPr>
            <w:r w:rsidRPr="00FB4FEF">
              <w:rPr>
                <w:sz w:val="22"/>
                <w:szCs w:val="22"/>
              </w:rPr>
              <w:t>Priemonėje lėšos numatomos visų rajone esančių mokyklų kanceliarinių priemonių rinkinių įsigijimui rajono pirmokams.</w:t>
            </w:r>
          </w:p>
        </w:tc>
      </w:tr>
      <w:tr w:rsidR="00745C46" w:rsidRPr="00FB4FEF" w14:paraId="44AD585E" w14:textId="77777777" w:rsidTr="00313447">
        <w:trPr>
          <w:jc w:val="center"/>
        </w:trPr>
        <w:tc>
          <w:tcPr>
            <w:tcW w:w="14560" w:type="dxa"/>
            <w:shd w:val="clear" w:color="auto" w:fill="DBE5F1"/>
          </w:tcPr>
          <w:p w14:paraId="45861A57"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8-1-2-1-12 Priemonė. Brandos egzaminų vykdymas, vertinimas, administravimas</w:t>
            </w:r>
          </w:p>
        </w:tc>
      </w:tr>
      <w:tr w:rsidR="00745C46" w:rsidRPr="00FB4FEF" w14:paraId="00C9EF1F" w14:textId="77777777" w:rsidTr="00313447">
        <w:trPr>
          <w:jc w:val="center"/>
        </w:trPr>
        <w:tc>
          <w:tcPr>
            <w:tcW w:w="14560" w:type="dxa"/>
          </w:tcPr>
          <w:p w14:paraId="4923E30B" w14:textId="77777777" w:rsidR="00745C46" w:rsidRPr="00FB4FEF" w:rsidRDefault="00745C46" w:rsidP="00313447">
            <w:pPr>
              <w:tabs>
                <w:tab w:val="left" w:pos="34"/>
                <w:tab w:val="left" w:pos="284"/>
                <w:tab w:val="left" w:pos="360"/>
              </w:tabs>
              <w:jc w:val="both"/>
              <w:rPr>
                <w:sz w:val="22"/>
                <w:szCs w:val="22"/>
              </w:rPr>
            </w:pPr>
            <w:r w:rsidRPr="00FB4FEF">
              <w:rPr>
                <w:sz w:val="22"/>
                <w:szCs w:val="22"/>
              </w:rPr>
              <w:t>Priemonė įgyvendinama kasmet, lėšos skiriamos valstybinių brandos egzaminų vykdymo ir vertinimo organizavimui.</w:t>
            </w:r>
          </w:p>
        </w:tc>
      </w:tr>
      <w:tr w:rsidR="00745C46" w:rsidRPr="00FB4FEF" w14:paraId="08F8BE2A" w14:textId="77777777" w:rsidTr="00313447">
        <w:trPr>
          <w:jc w:val="center"/>
        </w:trPr>
        <w:tc>
          <w:tcPr>
            <w:tcW w:w="14560" w:type="dxa"/>
            <w:shd w:val="clear" w:color="auto" w:fill="DBE5F1"/>
          </w:tcPr>
          <w:p w14:paraId="5DE72EBC"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8-1-2-1-19 Priemonė. Neformaliojo suaugusiųjų ir tęstinių studijų finansavimas</w:t>
            </w:r>
          </w:p>
        </w:tc>
      </w:tr>
      <w:tr w:rsidR="00745C46" w:rsidRPr="00FB4FEF" w14:paraId="3448129E" w14:textId="77777777" w:rsidTr="00313447">
        <w:trPr>
          <w:jc w:val="center"/>
        </w:trPr>
        <w:tc>
          <w:tcPr>
            <w:tcW w:w="14560" w:type="dxa"/>
          </w:tcPr>
          <w:p w14:paraId="49A4045C" w14:textId="77777777" w:rsidR="00745C46" w:rsidRPr="00FB4FEF" w:rsidRDefault="00745C46" w:rsidP="00313447">
            <w:pPr>
              <w:tabs>
                <w:tab w:val="left" w:pos="34"/>
                <w:tab w:val="left" w:pos="284"/>
                <w:tab w:val="left" w:pos="360"/>
              </w:tabs>
              <w:jc w:val="both"/>
              <w:rPr>
                <w:sz w:val="22"/>
                <w:szCs w:val="22"/>
              </w:rPr>
            </w:pPr>
            <w:r w:rsidRPr="00FB4FEF">
              <w:rPr>
                <w:sz w:val="22"/>
                <w:szCs w:val="22"/>
              </w:rPr>
              <w:t>Priemonė įgyvendinama kasmet, numatomas lėšų skyrimas neformaliojo suaugusiųjų ir tęstinėms studijoms. Šios lėšos skiriamos lektorių darbo apmokėjimui už paskaitas, seminarus, kursus bei projektų vykdymui.</w:t>
            </w:r>
          </w:p>
        </w:tc>
      </w:tr>
      <w:tr w:rsidR="00745C46" w:rsidRPr="00FB4FEF" w14:paraId="108AA243" w14:textId="77777777" w:rsidTr="00313447">
        <w:trPr>
          <w:jc w:val="center"/>
        </w:trPr>
        <w:tc>
          <w:tcPr>
            <w:tcW w:w="14560" w:type="dxa"/>
            <w:shd w:val="clear" w:color="auto" w:fill="DBE5F1"/>
          </w:tcPr>
          <w:p w14:paraId="4BFEFF08"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8-1-2-1-20 Priemonė. Mokesčio dalies už ikimokyklinio ir priešmokyklinio amžiaus vaikų priežiūrą ir ugdymą nevalstybinėse švietimo įstaigose kompensavimas</w:t>
            </w:r>
          </w:p>
        </w:tc>
      </w:tr>
      <w:tr w:rsidR="00745C46" w:rsidRPr="00FB4FEF" w14:paraId="07771886" w14:textId="77777777" w:rsidTr="00313447">
        <w:trPr>
          <w:jc w:val="center"/>
        </w:trPr>
        <w:tc>
          <w:tcPr>
            <w:tcW w:w="14560" w:type="dxa"/>
          </w:tcPr>
          <w:p w14:paraId="317F9B57" w14:textId="3C693A72" w:rsidR="00745C46" w:rsidRPr="00FB4FEF" w:rsidRDefault="00745C46" w:rsidP="00313447">
            <w:pPr>
              <w:tabs>
                <w:tab w:val="left" w:pos="34"/>
                <w:tab w:val="left" w:pos="284"/>
                <w:tab w:val="left" w:pos="360"/>
              </w:tabs>
              <w:jc w:val="both"/>
              <w:rPr>
                <w:sz w:val="22"/>
                <w:szCs w:val="22"/>
              </w:rPr>
            </w:pPr>
            <w:r w:rsidRPr="00FB4FEF">
              <w:rPr>
                <w:sz w:val="22"/>
                <w:szCs w:val="22"/>
              </w:rPr>
              <w:t>Lėšos skiriamos mokesčio daliai už ikimokyklinio ir priešmokyklinio amžiaus vaikų priežiūrą ir ugdymą nevalstybinėse švietimo įstaigose, kuriose ugdomi pagal gyvenamąją vietovę negavę vietos Kretingos rajono savivaldybės ugdymo įstaigose vaikai, kai vieno iš tėvų bei vaiko deklaruota gyvenamoji vieta yra Kretingos rajono savivaldybės teritorijoje, o vieno iš tėvų darbo santykiai vykdomi tos savivaldybės teritorijoje, kurioje veikia nevalstybinė ugdymo įstaiga, kompensuoti pagal savivaldybės tarybos patvirtintą tvarką.</w:t>
            </w:r>
          </w:p>
        </w:tc>
      </w:tr>
      <w:tr w:rsidR="00745C46" w:rsidRPr="00FB4FEF" w14:paraId="048C3437" w14:textId="77777777" w:rsidTr="00313447">
        <w:trPr>
          <w:jc w:val="center"/>
        </w:trPr>
        <w:tc>
          <w:tcPr>
            <w:tcW w:w="14560" w:type="dxa"/>
            <w:shd w:val="clear" w:color="auto" w:fill="DBE5F1"/>
          </w:tcPr>
          <w:p w14:paraId="7EF47DD4" w14:textId="77777777" w:rsidR="00745C46" w:rsidRPr="00FB4FEF" w:rsidRDefault="00745C46" w:rsidP="00313447">
            <w:pPr>
              <w:tabs>
                <w:tab w:val="left" w:pos="34"/>
                <w:tab w:val="left" w:pos="284"/>
                <w:tab w:val="left" w:pos="360"/>
              </w:tabs>
              <w:jc w:val="both"/>
              <w:rPr>
                <w:b/>
                <w:bCs/>
                <w:sz w:val="22"/>
                <w:szCs w:val="22"/>
              </w:rPr>
            </w:pPr>
            <w:r w:rsidRPr="00FB4FEF">
              <w:rPr>
                <w:b/>
                <w:bCs/>
                <w:sz w:val="22"/>
                <w:szCs w:val="22"/>
              </w:rPr>
              <w:t>8-1-2-1-21 Priemonė. Ankstyvojo ugdymo užtikrinimas vaikams iš socialinę riziką patiriančių šeimų</w:t>
            </w:r>
          </w:p>
        </w:tc>
      </w:tr>
      <w:tr w:rsidR="00745C46" w:rsidRPr="00FB4FEF" w14:paraId="6FD025F7" w14:textId="77777777" w:rsidTr="00313447">
        <w:trPr>
          <w:jc w:val="center"/>
        </w:trPr>
        <w:tc>
          <w:tcPr>
            <w:tcW w:w="14560" w:type="dxa"/>
            <w:shd w:val="clear" w:color="auto" w:fill="FFFFFF"/>
          </w:tcPr>
          <w:p w14:paraId="11BBE1BF" w14:textId="77777777" w:rsidR="00745C46" w:rsidRPr="00FB4FEF" w:rsidRDefault="00745C46" w:rsidP="00313447">
            <w:pPr>
              <w:tabs>
                <w:tab w:val="left" w:pos="34"/>
                <w:tab w:val="left" w:pos="284"/>
                <w:tab w:val="left" w:pos="360"/>
              </w:tabs>
              <w:jc w:val="both"/>
              <w:rPr>
                <w:b/>
                <w:bCs/>
                <w:sz w:val="22"/>
                <w:szCs w:val="22"/>
              </w:rPr>
            </w:pPr>
            <w:r w:rsidRPr="00FB4FEF">
              <w:rPr>
                <w:sz w:val="22"/>
                <w:szCs w:val="22"/>
              </w:rPr>
              <w:t xml:space="preserve">Priemonėje planuojamos lėšos skirtos įtraukti į ikimokyklinį ir priešmokyklinį ugdymą vaikus iš socialinės rizikos šeimų, teikiant jiems pagalbą ugdymo procese. Pagalba ugdymo procese apima individualių ugdymo priemonių įsigijimą, savivaldybės reglamentuoto vaikų išlaikymo mokesčio, maitinimo, pavėžėjimo į/iš ugdymo įstaigas bei lydinčio asmens darbo užmokesčio išlaidų apmokėjimą, kultūros veiklų ir neformaliojo švietimo paslaugų teikimą bei papildomas mokymo </w:t>
            </w:r>
            <w:r w:rsidRPr="00FB4FEF">
              <w:rPr>
                <w:sz w:val="22"/>
                <w:szCs w:val="22"/>
              </w:rPr>
              <w:lastRenderedPageBreak/>
              <w:t>išlaidas ugdymui ir švietimo pagalbai. Projektas įgyvendinamas Kretingos rajono savivaldybės mokyklose, kuriose veikia ikimokyklinis ir priešmokyklinis ugdymas. 2024–2026 m. planuojama įtraukti į ikimokyklinį ir priešmokyklinį ugdymą, teikiant jiems pagalbą ugdymo procese, 30 vaikų iš socialinės rizikos šeimų.</w:t>
            </w:r>
          </w:p>
        </w:tc>
      </w:tr>
      <w:tr w:rsidR="00745C46" w:rsidRPr="00FB4FEF" w14:paraId="75EE3036" w14:textId="77777777" w:rsidTr="00313447">
        <w:trPr>
          <w:jc w:val="center"/>
        </w:trPr>
        <w:tc>
          <w:tcPr>
            <w:tcW w:w="14560" w:type="dxa"/>
            <w:shd w:val="clear" w:color="auto" w:fill="DBE5F1"/>
          </w:tcPr>
          <w:p w14:paraId="1F4D5CCF"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lastRenderedPageBreak/>
              <w:t>8-1-2-1-22 Priemonė. Karjeros specialistų paslaugų mokiniams užtikrinimas</w:t>
            </w:r>
          </w:p>
        </w:tc>
      </w:tr>
      <w:tr w:rsidR="00745C46" w:rsidRPr="00FB4FEF" w14:paraId="5351C4DE" w14:textId="77777777" w:rsidTr="00313447">
        <w:trPr>
          <w:jc w:val="center"/>
        </w:trPr>
        <w:tc>
          <w:tcPr>
            <w:tcW w:w="14560" w:type="dxa"/>
          </w:tcPr>
          <w:p w14:paraId="4DBC7E9A" w14:textId="77777777" w:rsidR="00745C46" w:rsidRPr="00FB4FEF" w:rsidRDefault="00745C46" w:rsidP="00313447">
            <w:pPr>
              <w:tabs>
                <w:tab w:val="left" w:pos="34"/>
                <w:tab w:val="left" w:pos="284"/>
                <w:tab w:val="left" w:pos="360"/>
              </w:tabs>
              <w:jc w:val="both"/>
              <w:rPr>
                <w:sz w:val="22"/>
                <w:szCs w:val="22"/>
              </w:rPr>
            </w:pPr>
            <w:r w:rsidRPr="00FB4FEF">
              <w:rPr>
                <w:sz w:val="22"/>
                <w:szCs w:val="22"/>
              </w:rPr>
              <w:t>Kretingos švietimo centre yra įsteigta 5,2 etato karjeros specialistų profesinio orientavimo ir konsultavimo paslaugų Kretingos rajono bendrojo ugdymo įstaigų mokiniams teikimui. Nuo 2024 m. sausio 1 d. lėšos karjeros specialistų darbo užmokesčiui ir socialiniam draudimui bus skiriamos iš valstybės biudžeto lėšų. 2026–2028 m. lėšos karjeros specialistų darbo užmokesčiui ir socialiniam draudimui bus skiriamos iš valstybės biudžeto lėšų.</w:t>
            </w:r>
          </w:p>
        </w:tc>
      </w:tr>
      <w:tr w:rsidR="00745C46" w:rsidRPr="00FB4FEF" w14:paraId="596369C3" w14:textId="77777777" w:rsidTr="00313447">
        <w:trPr>
          <w:jc w:val="center"/>
        </w:trPr>
        <w:tc>
          <w:tcPr>
            <w:tcW w:w="14560" w:type="dxa"/>
            <w:shd w:val="clear" w:color="auto" w:fill="DBE5F1"/>
          </w:tcPr>
          <w:p w14:paraId="02FA5A36"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8-1-2-1-23 Priemonė. Tūkstantmečio mokyklų programos įgyvendinimas</w:t>
            </w:r>
          </w:p>
        </w:tc>
      </w:tr>
      <w:tr w:rsidR="00745C46" w:rsidRPr="00FB4FEF" w14:paraId="223DDBEE" w14:textId="77777777" w:rsidTr="00313447">
        <w:trPr>
          <w:jc w:val="center"/>
        </w:trPr>
        <w:tc>
          <w:tcPr>
            <w:tcW w:w="14560" w:type="dxa"/>
          </w:tcPr>
          <w:p w14:paraId="55DD34C2" w14:textId="77777777" w:rsidR="00745C46" w:rsidRPr="00FB4FEF" w:rsidRDefault="00745C46" w:rsidP="00313447">
            <w:pPr>
              <w:tabs>
                <w:tab w:val="left" w:pos="34"/>
                <w:tab w:val="left" w:pos="284"/>
                <w:tab w:val="left" w:pos="360"/>
              </w:tabs>
              <w:jc w:val="both"/>
              <w:rPr>
                <w:sz w:val="22"/>
                <w:szCs w:val="22"/>
              </w:rPr>
            </w:pPr>
            <w:r w:rsidRPr="00FB4FEF">
              <w:rPr>
                <w:sz w:val="22"/>
                <w:szCs w:val="22"/>
              </w:rPr>
              <w:t>Įgyvendinamas ES lėšomis finansuojamas projektas „Tūkstantmečio mokyklos I“. Projekto lėšos skiriamos mokinių mokymosi pasiekimų atotrūkiams tarp Kretingos savivaldybės mokyklų mažinti, stiprinti švietimo įstaigų tinklaveiką, gerinti įtraukiojo, STEAM ir kultūrinio ugdymo galimybes, plėsti infrastruktūrą, padidinti inovatyvių ugdymo(si) priemonių, metodų ir veiklų pasiūlą. Jurgio Pabrėžos universitetinėje gimnazijoje įkurtas gamtamokslinis centras, Simono Daukanto progimnazijoje – menų centras, Marijono Daujoto progimnazijoje iki 2026 m. kovo 30 d. informacinio mąstymo centras.</w:t>
            </w:r>
          </w:p>
        </w:tc>
      </w:tr>
      <w:tr w:rsidR="00745C46" w:rsidRPr="00FB4FEF" w14:paraId="213A0687" w14:textId="77777777" w:rsidTr="00313447">
        <w:trPr>
          <w:jc w:val="center"/>
        </w:trPr>
        <w:tc>
          <w:tcPr>
            <w:tcW w:w="14560" w:type="dxa"/>
            <w:shd w:val="clear" w:color="auto" w:fill="DBE5F1"/>
          </w:tcPr>
          <w:p w14:paraId="3A2B110E"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8-1-2-1-24 Priemonė. Pedagogų rėmimas</w:t>
            </w:r>
          </w:p>
        </w:tc>
      </w:tr>
      <w:tr w:rsidR="00745C46" w:rsidRPr="00FB4FEF" w14:paraId="419E5E05" w14:textId="77777777" w:rsidTr="00313447">
        <w:trPr>
          <w:jc w:val="center"/>
        </w:trPr>
        <w:tc>
          <w:tcPr>
            <w:tcW w:w="14560" w:type="dxa"/>
          </w:tcPr>
          <w:p w14:paraId="4A19249C" w14:textId="77777777" w:rsidR="00745C46" w:rsidRPr="00FB4FEF" w:rsidRDefault="00745C46" w:rsidP="00313447">
            <w:pPr>
              <w:tabs>
                <w:tab w:val="left" w:pos="34"/>
                <w:tab w:val="left" w:pos="284"/>
                <w:tab w:val="left" w:pos="360"/>
              </w:tabs>
              <w:jc w:val="both"/>
              <w:rPr>
                <w:sz w:val="22"/>
                <w:szCs w:val="22"/>
              </w:rPr>
            </w:pPr>
            <w:r w:rsidRPr="00FB4FEF">
              <w:rPr>
                <w:sz w:val="22"/>
                <w:szCs w:val="22"/>
              </w:rPr>
              <w:t>Savivaldybėje vis labiau aštrėja problema – trūksta mokytojų. Siekiant užtikrinti sklandų ugdymo proceso organizavimą rajono ugdymo įstaigose priimti Savivaldybės tarybos sprendimai sudaro sąlygas į savivaldybės pavaldume esančias mokyklas pritraukti trūkstamų specialybių mokytojus, skiriant finansavimą jų perkvalifikavimo studijoms ir dalinį finansavimą savivaldybės pavaldume esančių švietimo įstaigų mokytojų kelionės išlaidų kompensavimui.</w:t>
            </w:r>
          </w:p>
        </w:tc>
      </w:tr>
      <w:tr w:rsidR="00745C46" w:rsidRPr="00FB4FEF" w14:paraId="08C3881A" w14:textId="77777777" w:rsidTr="00313447">
        <w:trPr>
          <w:jc w:val="center"/>
        </w:trPr>
        <w:tc>
          <w:tcPr>
            <w:tcW w:w="14560" w:type="dxa"/>
            <w:shd w:val="clear" w:color="auto" w:fill="DBE5F1"/>
          </w:tcPr>
          <w:p w14:paraId="7389CE7D"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8-1-2-2-3 Priemonė. Vaikų ir paauglių socializacijos programų, nusikalstamumo prevencijos projektų įgyvendinimas</w:t>
            </w:r>
          </w:p>
        </w:tc>
      </w:tr>
      <w:tr w:rsidR="00745C46" w:rsidRPr="00FB4FEF" w14:paraId="1A174208" w14:textId="77777777" w:rsidTr="00313447">
        <w:trPr>
          <w:jc w:val="center"/>
        </w:trPr>
        <w:tc>
          <w:tcPr>
            <w:tcW w:w="14560" w:type="dxa"/>
          </w:tcPr>
          <w:p w14:paraId="5048F621" w14:textId="77777777" w:rsidR="00745C46" w:rsidRPr="00FB4FEF" w:rsidRDefault="00745C46" w:rsidP="00313447">
            <w:pPr>
              <w:tabs>
                <w:tab w:val="left" w:pos="34"/>
                <w:tab w:val="left" w:pos="284"/>
                <w:tab w:val="left" w:pos="360"/>
              </w:tabs>
              <w:jc w:val="both"/>
              <w:rPr>
                <w:sz w:val="22"/>
                <w:szCs w:val="22"/>
              </w:rPr>
            </w:pPr>
            <w:r w:rsidRPr="00FB4FEF">
              <w:rPr>
                <w:sz w:val="22"/>
                <w:szCs w:val="22"/>
              </w:rPr>
              <w:t>Priemonė įgyvendinama kasmet, lėšos numatomos vaikų  vasaros užimtumo ir vaikų nusikalstamumo prevencijos programų finansavimui.</w:t>
            </w:r>
          </w:p>
        </w:tc>
      </w:tr>
      <w:tr w:rsidR="00745C46" w:rsidRPr="00FB4FEF" w14:paraId="67E98302" w14:textId="77777777" w:rsidTr="00313447">
        <w:trPr>
          <w:jc w:val="center"/>
        </w:trPr>
        <w:tc>
          <w:tcPr>
            <w:tcW w:w="14560" w:type="dxa"/>
            <w:shd w:val="clear" w:color="auto" w:fill="DBE5F1"/>
          </w:tcPr>
          <w:p w14:paraId="094CF1EB"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8-1-2-2-9 Priemonė. Lietuvos moksleivių dainų švenčių organizavimas</w:t>
            </w:r>
          </w:p>
        </w:tc>
      </w:tr>
      <w:tr w:rsidR="00745C46" w:rsidRPr="00FB4FEF" w14:paraId="20817CF7" w14:textId="77777777" w:rsidTr="00313447">
        <w:trPr>
          <w:jc w:val="center"/>
        </w:trPr>
        <w:tc>
          <w:tcPr>
            <w:tcW w:w="14560" w:type="dxa"/>
          </w:tcPr>
          <w:p w14:paraId="0453DE3D" w14:textId="77777777" w:rsidR="00745C46" w:rsidRPr="00FB4FEF" w:rsidRDefault="00745C46" w:rsidP="00313447">
            <w:pPr>
              <w:tabs>
                <w:tab w:val="left" w:pos="34"/>
                <w:tab w:val="left" w:pos="284"/>
                <w:tab w:val="left" w:pos="360"/>
              </w:tabs>
              <w:jc w:val="both"/>
              <w:rPr>
                <w:sz w:val="22"/>
                <w:szCs w:val="22"/>
              </w:rPr>
            </w:pPr>
            <w:r w:rsidRPr="00FB4FEF">
              <w:rPr>
                <w:sz w:val="22"/>
                <w:szCs w:val="22"/>
              </w:rPr>
              <w:t>Priemonė skirta respublikinių vaikų dainų švenčių organizavimui ir vykdymui: vaikų transporto, maitinimo, apgyvendinimo organizavimo išlaidoms. 2026 m. vyks Lietuvos moksleivių dainų šventė.</w:t>
            </w:r>
          </w:p>
        </w:tc>
      </w:tr>
      <w:tr w:rsidR="00745C46" w:rsidRPr="00FB4FEF" w14:paraId="0064CFD8" w14:textId="77777777" w:rsidTr="00313447">
        <w:trPr>
          <w:jc w:val="center"/>
        </w:trPr>
        <w:tc>
          <w:tcPr>
            <w:tcW w:w="14560" w:type="dxa"/>
            <w:shd w:val="clear" w:color="auto" w:fill="DBE5F1"/>
          </w:tcPr>
          <w:p w14:paraId="22A3C90D"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8-1-2-2-14 Priemonė. Renginių mokyklos bendruomenėms, mokinių su negalia kelionių organizavimas, iniciatyvų skatinimas</w:t>
            </w:r>
          </w:p>
        </w:tc>
      </w:tr>
      <w:tr w:rsidR="00745C46" w:rsidRPr="00FB4FEF" w14:paraId="49B2AD23" w14:textId="77777777" w:rsidTr="00313447">
        <w:trPr>
          <w:jc w:val="center"/>
        </w:trPr>
        <w:tc>
          <w:tcPr>
            <w:tcW w:w="14560" w:type="dxa"/>
          </w:tcPr>
          <w:p w14:paraId="368635F6" w14:textId="77777777" w:rsidR="00745C46" w:rsidRPr="00FB4FEF" w:rsidRDefault="00745C46" w:rsidP="00313447">
            <w:pPr>
              <w:tabs>
                <w:tab w:val="left" w:pos="34"/>
                <w:tab w:val="left" w:pos="284"/>
                <w:tab w:val="left" w:pos="360"/>
              </w:tabs>
              <w:jc w:val="both"/>
              <w:rPr>
                <w:sz w:val="22"/>
                <w:szCs w:val="22"/>
              </w:rPr>
            </w:pPr>
            <w:r w:rsidRPr="00FB4FEF">
              <w:rPr>
                <w:sz w:val="22"/>
                <w:szCs w:val="22"/>
              </w:rPr>
              <w:t xml:space="preserve">Priemonė įgyvendinama kasmet. Ji apima renginių mokiniams ir mokytojams: gabių mokinių ir jų mokytojų skatinimui, brandos egzaminus išlaikiusių šimtu balu mokinių ir juos ruošusių mokytojų premijavimui, konkursų, valstybinių ir naujų mokslo metų pradžios renginių ir švenčių, Mokytojų dienos organizavimui, mokinių, turinčių judėjimo ir kitas negalias, kelionės išlaidų į kitų miesto ir rajono mokyklas kompensavimui, priėmimo į ikimokyklines ir bendrojo ugdymo mokyklas sistemų administravimui. </w:t>
            </w:r>
          </w:p>
          <w:p w14:paraId="55D0E374" w14:textId="77777777" w:rsidR="00745C46" w:rsidRPr="00FB4FEF" w:rsidRDefault="00745C46" w:rsidP="00313447">
            <w:pPr>
              <w:tabs>
                <w:tab w:val="left" w:pos="34"/>
                <w:tab w:val="left" w:pos="284"/>
                <w:tab w:val="left" w:pos="360"/>
              </w:tabs>
              <w:jc w:val="both"/>
              <w:rPr>
                <w:sz w:val="22"/>
                <w:szCs w:val="22"/>
              </w:rPr>
            </w:pPr>
            <w:r w:rsidRPr="00FB4FEF">
              <w:rPr>
                <w:sz w:val="22"/>
                <w:szCs w:val="22"/>
              </w:rPr>
              <w:t>Nuo 2022 m. mokinių finansinio raštingumo skatinimui rajone ir mokinių iniciatyvų palaikymui sudaromos sąlygos visiems rajono bendrojo ugdymo mokyklų mokiniams dalyvauti formuojant mokyklos biudžetą, t. y. finansuojant mokinių parengtus projektus mokyklos ugdymosi aplinkų gerinimui (pagal savivaldybės tarybos patvirtintą tvarką).</w:t>
            </w:r>
          </w:p>
        </w:tc>
      </w:tr>
      <w:tr w:rsidR="00745C46" w:rsidRPr="00FB4FEF" w14:paraId="78171F79" w14:textId="77777777" w:rsidTr="00313447">
        <w:trPr>
          <w:jc w:val="center"/>
        </w:trPr>
        <w:tc>
          <w:tcPr>
            <w:tcW w:w="14560" w:type="dxa"/>
            <w:shd w:val="clear" w:color="auto" w:fill="DBE5F1"/>
          </w:tcPr>
          <w:p w14:paraId="66A8E2F1"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8-1-2-2-16 Priemonė. Neformaliojo vaikų švietimo finansavimas</w:t>
            </w:r>
          </w:p>
        </w:tc>
      </w:tr>
      <w:tr w:rsidR="00745C46" w:rsidRPr="00FB4FEF" w14:paraId="1119CBFD" w14:textId="77777777" w:rsidTr="00313447">
        <w:trPr>
          <w:jc w:val="center"/>
        </w:trPr>
        <w:tc>
          <w:tcPr>
            <w:tcW w:w="14560" w:type="dxa"/>
          </w:tcPr>
          <w:p w14:paraId="2A1F62B0" w14:textId="77777777" w:rsidR="00745C46" w:rsidRPr="00FB4FEF" w:rsidRDefault="00745C46" w:rsidP="00313447">
            <w:pPr>
              <w:tabs>
                <w:tab w:val="left" w:pos="34"/>
                <w:tab w:val="left" w:pos="284"/>
                <w:tab w:val="left" w:pos="360"/>
              </w:tabs>
              <w:jc w:val="both"/>
              <w:rPr>
                <w:sz w:val="22"/>
                <w:szCs w:val="22"/>
              </w:rPr>
            </w:pPr>
            <w:r w:rsidRPr="00FB4FEF">
              <w:rPr>
                <w:sz w:val="22"/>
                <w:szCs w:val="22"/>
              </w:rPr>
              <w:t>Priemonė skirta tenkinti neformaliojo vaikų švietimo mokinių pažinimo, ugdymosi ir saviraiškos poreikius, padėti jiems tapti aktyviais visuomenės nariais. Neformaliojo vaikų švietimo programas vykdo laisvieji mokytojai, viešosios įstaigos, neformaliojo švietimo mokyklos, kiti švietimo teikėjai. Programos finansuojamos valstybės biudžeto lėšomis.</w:t>
            </w:r>
          </w:p>
        </w:tc>
      </w:tr>
      <w:tr w:rsidR="00745C46" w:rsidRPr="00FB4FEF" w14:paraId="6C53BA7D" w14:textId="77777777" w:rsidTr="00313447">
        <w:trPr>
          <w:jc w:val="center"/>
        </w:trPr>
        <w:tc>
          <w:tcPr>
            <w:tcW w:w="14560" w:type="dxa"/>
            <w:shd w:val="clear" w:color="auto" w:fill="DBE5F1"/>
          </w:tcPr>
          <w:p w14:paraId="25B3586B" w14:textId="77777777" w:rsidR="00745C46" w:rsidRPr="00FB4FEF" w:rsidRDefault="00745C46" w:rsidP="00313447">
            <w:pPr>
              <w:tabs>
                <w:tab w:val="left" w:pos="34"/>
                <w:tab w:val="left" w:pos="284"/>
                <w:tab w:val="left" w:pos="360"/>
              </w:tabs>
              <w:jc w:val="both"/>
              <w:rPr>
                <w:color w:val="000000"/>
                <w:sz w:val="22"/>
                <w:szCs w:val="22"/>
              </w:rPr>
            </w:pPr>
            <w:r w:rsidRPr="00FB4FEF">
              <w:rPr>
                <w:b/>
                <w:bCs/>
                <w:color w:val="000000"/>
                <w:sz w:val="22"/>
                <w:szCs w:val="22"/>
              </w:rPr>
              <w:t>8-1-2-3-2 Priemonė. Švietimo įstaigų remontas ir įrangos įsigijimas</w:t>
            </w:r>
          </w:p>
        </w:tc>
      </w:tr>
      <w:tr w:rsidR="00745C46" w:rsidRPr="00FB4FEF" w14:paraId="3881F9F7" w14:textId="77777777" w:rsidTr="00313447">
        <w:trPr>
          <w:jc w:val="center"/>
        </w:trPr>
        <w:tc>
          <w:tcPr>
            <w:tcW w:w="14560" w:type="dxa"/>
          </w:tcPr>
          <w:p w14:paraId="63264166" w14:textId="4931BFAF" w:rsidR="00745C46" w:rsidRPr="00745C46" w:rsidRDefault="00745C46" w:rsidP="00313447">
            <w:pPr>
              <w:tabs>
                <w:tab w:val="left" w:pos="34"/>
                <w:tab w:val="left" w:pos="284"/>
                <w:tab w:val="left" w:pos="360"/>
              </w:tabs>
              <w:jc w:val="both"/>
              <w:rPr>
                <w:color w:val="000000"/>
                <w:sz w:val="22"/>
                <w:szCs w:val="22"/>
              </w:rPr>
            </w:pPr>
            <w:r w:rsidRPr="00FB4FEF">
              <w:rPr>
                <w:color w:val="000000"/>
                <w:sz w:val="22"/>
                <w:szCs w:val="22"/>
              </w:rPr>
              <w:t>Priemonė įgyvendinama kasmet – lėšos skiriamos ugdymo įstaigų remontui pagal gautus prašymus, pasiruošimui naujiems mokslo metams, virtuvių įrangai ir remontui.</w:t>
            </w:r>
            <w:r>
              <w:rPr>
                <w:color w:val="000000"/>
                <w:sz w:val="22"/>
                <w:szCs w:val="22"/>
              </w:rPr>
              <w:t xml:space="preserve"> </w:t>
            </w:r>
            <w:r w:rsidRPr="00745C46">
              <w:rPr>
                <w:color w:val="000000"/>
                <w:sz w:val="22"/>
                <w:szCs w:val="22"/>
              </w:rPr>
              <w:t>Taip pat lėšos skiriamos Jokūbavo Aleksandro Stu</w:t>
            </w:r>
            <w:r w:rsidR="00AB4EC0">
              <w:rPr>
                <w:color w:val="000000"/>
                <w:sz w:val="22"/>
                <w:szCs w:val="22"/>
              </w:rPr>
              <w:t>l</w:t>
            </w:r>
            <w:r w:rsidRPr="00745C46">
              <w:rPr>
                <w:color w:val="000000"/>
                <w:sz w:val="22"/>
                <w:szCs w:val="22"/>
              </w:rPr>
              <w:t>ginskio mokyklos-daugiafun</w:t>
            </w:r>
            <w:r w:rsidR="00AB4EC0">
              <w:rPr>
                <w:color w:val="000000"/>
                <w:sz w:val="22"/>
                <w:szCs w:val="22"/>
              </w:rPr>
              <w:t>k</w:t>
            </w:r>
            <w:r w:rsidRPr="00745C46">
              <w:rPr>
                <w:color w:val="000000"/>
                <w:sz w:val="22"/>
                <w:szCs w:val="22"/>
              </w:rPr>
              <w:t xml:space="preserve">cio centro Baublių skyriaus patalpų remontui. </w:t>
            </w:r>
          </w:p>
          <w:p w14:paraId="4DA7C6C9" w14:textId="77777777" w:rsidR="00745C46" w:rsidRPr="00FB4FEF" w:rsidRDefault="00745C46" w:rsidP="00313447">
            <w:pPr>
              <w:tabs>
                <w:tab w:val="left" w:pos="34"/>
                <w:tab w:val="left" w:pos="604"/>
                <w:tab w:val="left" w:pos="746"/>
              </w:tabs>
              <w:jc w:val="both"/>
              <w:rPr>
                <w:color w:val="000000"/>
                <w:sz w:val="22"/>
                <w:szCs w:val="22"/>
              </w:rPr>
            </w:pPr>
            <w:r w:rsidRPr="00FB4FEF">
              <w:rPr>
                <w:color w:val="000000"/>
                <w:sz w:val="22"/>
                <w:szCs w:val="22"/>
              </w:rPr>
              <w:t xml:space="preserve">Numatoma atnaujinti Kretingos Marijono Daujoto progimnazijos, Kretingos Simono Daukanto progimnazijos, Salantų gimnazijos valgyklas 2026 m., Kretingos Jurgio Pabrėžos universitetinės gimnazijos valgyklą </w:t>
            </w:r>
            <w:r w:rsidRPr="00FB4FEF">
              <w:rPr>
                <w:sz w:val="22"/>
                <w:szCs w:val="22"/>
              </w:rPr>
              <w:t xml:space="preserve">– </w:t>
            </w:r>
            <w:r w:rsidRPr="00FB4FEF">
              <w:rPr>
                <w:color w:val="000000"/>
                <w:sz w:val="22"/>
                <w:szCs w:val="22"/>
              </w:rPr>
              <w:t xml:space="preserve">2027 m., Kartenos mokyklos-daugiafunkcio centro valgyklą </w:t>
            </w:r>
            <w:r w:rsidRPr="00FB4FEF">
              <w:rPr>
                <w:sz w:val="22"/>
                <w:szCs w:val="22"/>
              </w:rPr>
              <w:t>–</w:t>
            </w:r>
            <w:r w:rsidRPr="00FB4FEF">
              <w:rPr>
                <w:color w:val="000000"/>
                <w:sz w:val="22"/>
                <w:szCs w:val="22"/>
              </w:rPr>
              <w:t xml:space="preserve"> 2028 m.</w:t>
            </w:r>
          </w:p>
        </w:tc>
      </w:tr>
      <w:tr w:rsidR="00745C46" w:rsidRPr="00FB4FEF" w14:paraId="7D8AB5B9" w14:textId="77777777" w:rsidTr="00313447">
        <w:trPr>
          <w:jc w:val="center"/>
        </w:trPr>
        <w:tc>
          <w:tcPr>
            <w:tcW w:w="14560" w:type="dxa"/>
            <w:shd w:val="clear" w:color="auto" w:fill="DBE5F1"/>
          </w:tcPr>
          <w:p w14:paraId="6D5F569D" w14:textId="77777777" w:rsidR="00745C46" w:rsidRPr="00FB4FEF" w:rsidRDefault="00745C46" w:rsidP="00313447">
            <w:pPr>
              <w:tabs>
                <w:tab w:val="left" w:pos="34"/>
                <w:tab w:val="left" w:pos="284"/>
                <w:tab w:val="left" w:pos="360"/>
              </w:tabs>
              <w:jc w:val="both"/>
              <w:rPr>
                <w:color w:val="000000"/>
                <w:sz w:val="22"/>
                <w:szCs w:val="22"/>
              </w:rPr>
            </w:pPr>
            <w:r w:rsidRPr="00FB4FEF">
              <w:rPr>
                <w:b/>
                <w:bCs/>
                <w:color w:val="000000"/>
                <w:sz w:val="22"/>
                <w:szCs w:val="22"/>
              </w:rPr>
              <w:lastRenderedPageBreak/>
              <w:t>8-2-1-1-4 Priemonė. Kretingos rajono jaunimo politikos programos įgyvendinimas</w:t>
            </w:r>
          </w:p>
        </w:tc>
      </w:tr>
      <w:tr w:rsidR="00745C46" w:rsidRPr="00FB4FEF" w14:paraId="09FAD37B" w14:textId="77777777" w:rsidTr="00313447">
        <w:trPr>
          <w:jc w:val="center"/>
        </w:trPr>
        <w:tc>
          <w:tcPr>
            <w:tcW w:w="14560" w:type="dxa"/>
          </w:tcPr>
          <w:p w14:paraId="4D6A819A" w14:textId="77777777" w:rsidR="00745C46" w:rsidRPr="00FB4FEF" w:rsidRDefault="00745C46" w:rsidP="00313447">
            <w:pPr>
              <w:tabs>
                <w:tab w:val="left" w:pos="34"/>
                <w:tab w:val="left" w:pos="284"/>
                <w:tab w:val="left" w:pos="360"/>
              </w:tabs>
              <w:jc w:val="both"/>
              <w:rPr>
                <w:color w:val="000000"/>
                <w:sz w:val="22"/>
                <w:szCs w:val="22"/>
              </w:rPr>
            </w:pPr>
            <w:r w:rsidRPr="00FB4FEF">
              <w:rPr>
                <w:color w:val="000000"/>
                <w:sz w:val="22"/>
                <w:szCs w:val="22"/>
              </w:rPr>
              <w:t xml:space="preserve">Priemonė įgyvendinama kasmet, lėšos skiriamos atvirų jaunimo erdvių, atviro jaunimo centro veiklos programai vykdyti, taip pat įvairiems mokymams: jaunimo, su jaunimu dirbantiems darbuotojams, savanorius priimančioms organizacijoms ir kt., renginiams (Jaunimo apdovanojimams), akcijoms ir iniciatyvoms, Savivaldybės jaunimo reikalų tarybos veiklai organizuoti, suvenyrams-atributikai įsigyti, kitų savivaldybių renginių dalyvio mokesčiams. Taip pat lėšos numatomos projekto „Kretinga </w:t>
            </w:r>
            <w:r w:rsidRPr="00FB4FEF">
              <w:rPr>
                <w:sz w:val="22"/>
                <w:szCs w:val="22"/>
              </w:rPr>
              <w:t>–</w:t>
            </w:r>
            <w:r w:rsidRPr="00FB4FEF">
              <w:rPr>
                <w:color w:val="000000"/>
                <w:sz w:val="22"/>
                <w:szCs w:val="22"/>
              </w:rPr>
              <w:t xml:space="preserve"> Lietuvos jaunimo sostinė 2025 m.“ veiklų tęstinumo užtikrinimui.</w:t>
            </w:r>
          </w:p>
        </w:tc>
      </w:tr>
      <w:tr w:rsidR="00745C46" w:rsidRPr="00FB4FEF" w14:paraId="04532503" w14:textId="77777777" w:rsidTr="00313447">
        <w:trPr>
          <w:jc w:val="center"/>
        </w:trPr>
        <w:tc>
          <w:tcPr>
            <w:tcW w:w="14560" w:type="dxa"/>
            <w:shd w:val="clear" w:color="auto" w:fill="DBE5F1"/>
          </w:tcPr>
          <w:p w14:paraId="768FC3B0" w14:textId="77777777" w:rsidR="00745C46" w:rsidRPr="00FB4FEF" w:rsidRDefault="00745C46" w:rsidP="00313447">
            <w:pPr>
              <w:tabs>
                <w:tab w:val="left" w:pos="34"/>
                <w:tab w:val="left" w:pos="284"/>
                <w:tab w:val="left" w:pos="360"/>
              </w:tabs>
              <w:jc w:val="both"/>
              <w:rPr>
                <w:color w:val="000000"/>
                <w:sz w:val="22"/>
                <w:szCs w:val="22"/>
              </w:rPr>
            </w:pPr>
            <w:r w:rsidRPr="00FB4FEF">
              <w:rPr>
                <w:b/>
                <w:bCs/>
                <w:color w:val="000000"/>
                <w:sz w:val="22"/>
                <w:szCs w:val="22"/>
              </w:rPr>
              <w:t>8-2-1-2-2 Priemonė. Jaunimo projektų finansavimas</w:t>
            </w:r>
          </w:p>
        </w:tc>
      </w:tr>
      <w:tr w:rsidR="00745C46" w:rsidRPr="00FB4FEF" w14:paraId="442F3278" w14:textId="77777777" w:rsidTr="00313447">
        <w:trPr>
          <w:jc w:val="center"/>
        </w:trPr>
        <w:tc>
          <w:tcPr>
            <w:tcW w:w="14560" w:type="dxa"/>
          </w:tcPr>
          <w:p w14:paraId="04BF9120" w14:textId="77777777" w:rsidR="00745C46" w:rsidRPr="00FB4FEF" w:rsidRDefault="00745C46" w:rsidP="00313447">
            <w:pPr>
              <w:tabs>
                <w:tab w:val="left" w:pos="34"/>
                <w:tab w:val="left" w:pos="284"/>
                <w:tab w:val="left" w:pos="360"/>
              </w:tabs>
              <w:jc w:val="both"/>
              <w:rPr>
                <w:color w:val="000000"/>
                <w:sz w:val="22"/>
                <w:szCs w:val="22"/>
              </w:rPr>
            </w:pPr>
            <w:r w:rsidRPr="00FB4FEF">
              <w:rPr>
                <w:color w:val="000000"/>
                <w:sz w:val="22"/>
                <w:szCs w:val="22"/>
              </w:rPr>
              <w:t>Priemonė įgyvendinama kasmet, lėšos skiriamos jaunimo ir su jaunimu dirbančių organizacijų projektinėms veikloms finansuoti. Lėšų skyrimo tvarka tvirtinama administracijos direktoriaus įsakymu. Numatomos finansuoti jaunimo iniciatyvų, jaunimo organizacijų plėtojimo, jaunimo įtraukimo, kaimo bendruomenių jaunimo iniciatyvų, jaunų šeimų aktyvinimo, sveikos gyvensenos, jaunimo verslumo ir antikorupcijos prevencinės veiklos.</w:t>
            </w:r>
          </w:p>
        </w:tc>
      </w:tr>
      <w:tr w:rsidR="00745C46" w:rsidRPr="00FB4FEF" w14:paraId="393487FF" w14:textId="77777777" w:rsidTr="00313447">
        <w:trPr>
          <w:jc w:val="center"/>
        </w:trPr>
        <w:tc>
          <w:tcPr>
            <w:tcW w:w="14560" w:type="dxa"/>
            <w:shd w:val="clear" w:color="auto" w:fill="DBE5F1"/>
          </w:tcPr>
          <w:p w14:paraId="61B0081F" w14:textId="77777777" w:rsidR="00745C46" w:rsidRPr="00FB4FEF" w:rsidRDefault="00745C46" w:rsidP="00313447">
            <w:pPr>
              <w:tabs>
                <w:tab w:val="left" w:pos="34"/>
                <w:tab w:val="left" w:pos="284"/>
                <w:tab w:val="left" w:pos="360"/>
              </w:tabs>
              <w:jc w:val="both"/>
              <w:rPr>
                <w:color w:val="000000"/>
                <w:sz w:val="22"/>
                <w:szCs w:val="22"/>
              </w:rPr>
            </w:pPr>
            <w:r w:rsidRPr="00FB4FEF">
              <w:rPr>
                <w:b/>
                <w:bCs/>
                <w:color w:val="000000"/>
                <w:sz w:val="22"/>
                <w:szCs w:val="22"/>
              </w:rPr>
              <w:t>8-2-1-2-4 Priemonė. Jaunimo vasaros užimtumo ir integracijos į darbo rinką programa</w:t>
            </w:r>
          </w:p>
        </w:tc>
      </w:tr>
      <w:tr w:rsidR="00745C46" w:rsidRPr="00FB4FEF" w14:paraId="793D4849" w14:textId="77777777" w:rsidTr="00313447">
        <w:trPr>
          <w:jc w:val="center"/>
        </w:trPr>
        <w:tc>
          <w:tcPr>
            <w:tcW w:w="14560" w:type="dxa"/>
          </w:tcPr>
          <w:p w14:paraId="2F520958" w14:textId="77777777" w:rsidR="00745C46" w:rsidRPr="00FB4FEF" w:rsidRDefault="00745C46" w:rsidP="00313447">
            <w:pPr>
              <w:tabs>
                <w:tab w:val="left" w:pos="34"/>
                <w:tab w:val="left" w:pos="284"/>
                <w:tab w:val="left" w:pos="360"/>
              </w:tabs>
              <w:jc w:val="both"/>
              <w:rPr>
                <w:color w:val="000000"/>
                <w:sz w:val="22"/>
                <w:szCs w:val="22"/>
              </w:rPr>
            </w:pPr>
            <w:r w:rsidRPr="00FB4FEF">
              <w:rPr>
                <w:color w:val="000000"/>
                <w:sz w:val="22"/>
                <w:szCs w:val="22"/>
              </w:rPr>
              <w:t>Priemonė įgyvendinama kasmet, lėšos numatomos vaikų vasaros užimtumui ir integracijos į darbo rinką organizavimui.</w:t>
            </w:r>
          </w:p>
        </w:tc>
      </w:tr>
      <w:tr w:rsidR="00745C46" w:rsidRPr="00FB4FEF" w14:paraId="27A943FD" w14:textId="77777777" w:rsidTr="00313447">
        <w:trPr>
          <w:jc w:val="center"/>
        </w:trPr>
        <w:tc>
          <w:tcPr>
            <w:tcW w:w="14560" w:type="dxa"/>
            <w:shd w:val="clear" w:color="auto" w:fill="DBE5F1"/>
          </w:tcPr>
          <w:p w14:paraId="3F0B181F" w14:textId="77777777" w:rsidR="00745C46" w:rsidRPr="00FB4FEF" w:rsidRDefault="00745C46" w:rsidP="00313447">
            <w:pPr>
              <w:tabs>
                <w:tab w:val="left" w:pos="34"/>
                <w:tab w:val="left" w:pos="284"/>
                <w:tab w:val="left" w:pos="360"/>
              </w:tabs>
              <w:jc w:val="both"/>
              <w:rPr>
                <w:b/>
                <w:bCs/>
                <w:sz w:val="22"/>
                <w:szCs w:val="22"/>
              </w:rPr>
            </w:pPr>
            <w:r w:rsidRPr="00FB4FEF">
              <w:rPr>
                <w:b/>
                <w:bCs/>
                <w:sz w:val="22"/>
                <w:szCs w:val="22"/>
              </w:rPr>
              <w:t>8-2-1-2-6 Priemonė. Jaunimo savanoriškos tarnybos Savivaldybėje įgyvendinimas</w:t>
            </w:r>
          </w:p>
        </w:tc>
      </w:tr>
      <w:tr w:rsidR="00745C46" w:rsidRPr="00FB4FEF" w14:paraId="1D14277C" w14:textId="77777777" w:rsidTr="00313447">
        <w:trPr>
          <w:jc w:val="center"/>
        </w:trPr>
        <w:tc>
          <w:tcPr>
            <w:tcW w:w="14560" w:type="dxa"/>
          </w:tcPr>
          <w:p w14:paraId="23A21BE0" w14:textId="77777777" w:rsidR="00745C46" w:rsidRPr="00FB4FEF" w:rsidRDefault="00745C46" w:rsidP="00313447">
            <w:pPr>
              <w:tabs>
                <w:tab w:val="left" w:pos="34"/>
                <w:tab w:val="left" w:pos="284"/>
                <w:tab w:val="left" w:pos="360"/>
              </w:tabs>
              <w:jc w:val="both"/>
              <w:rPr>
                <w:sz w:val="22"/>
                <w:szCs w:val="22"/>
              </w:rPr>
            </w:pPr>
            <w:r w:rsidRPr="00FB4FEF">
              <w:rPr>
                <w:sz w:val="22"/>
                <w:szCs w:val="22"/>
              </w:rPr>
              <w:t>Lėšos numatomos jaunimo savanoriškos tarnybos Savivaldybėje įgyvendinimui.</w:t>
            </w:r>
          </w:p>
        </w:tc>
      </w:tr>
      <w:tr w:rsidR="00745C46" w:rsidRPr="00FB4FEF" w14:paraId="6AF67464" w14:textId="77777777" w:rsidTr="00313447">
        <w:trPr>
          <w:jc w:val="center"/>
        </w:trPr>
        <w:tc>
          <w:tcPr>
            <w:tcW w:w="14560" w:type="dxa"/>
            <w:shd w:val="clear" w:color="auto" w:fill="DBE5F1"/>
          </w:tcPr>
          <w:p w14:paraId="293B81FC"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8-4-2-4-5 Priemonė. Biudžetinių įstaigų veiklos išlaidos</w:t>
            </w:r>
          </w:p>
        </w:tc>
      </w:tr>
      <w:tr w:rsidR="00745C46" w:rsidRPr="00FB4FEF" w14:paraId="7860A70D" w14:textId="77777777" w:rsidTr="00313447">
        <w:trPr>
          <w:jc w:val="center"/>
        </w:trPr>
        <w:tc>
          <w:tcPr>
            <w:tcW w:w="14560" w:type="dxa"/>
          </w:tcPr>
          <w:p w14:paraId="0BDC03FC" w14:textId="77777777" w:rsidR="00745C46" w:rsidRPr="00FB4FEF" w:rsidRDefault="00745C46" w:rsidP="00313447">
            <w:pPr>
              <w:tabs>
                <w:tab w:val="left" w:pos="34"/>
                <w:tab w:val="left" w:pos="284"/>
                <w:tab w:val="left" w:pos="360"/>
              </w:tabs>
              <w:jc w:val="both"/>
              <w:rPr>
                <w:sz w:val="22"/>
                <w:szCs w:val="22"/>
              </w:rPr>
            </w:pPr>
            <w:r w:rsidRPr="00FB4FEF">
              <w:rPr>
                <w:sz w:val="22"/>
                <w:szCs w:val="22"/>
              </w:rPr>
              <w:t>Priemonė įgyvendinama kasmet: numatomos visų rajono švietimo įstaigų veiklos išlaidos.</w:t>
            </w:r>
          </w:p>
          <w:p w14:paraId="1291A481" w14:textId="77777777" w:rsidR="00745C46" w:rsidRPr="00FB4FEF" w:rsidRDefault="00745C46" w:rsidP="00313447">
            <w:pPr>
              <w:tabs>
                <w:tab w:val="left" w:pos="34"/>
                <w:tab w:val="left" w:pos="284"/>
                <w:tab w:val="left" w:pos="360"/>
              </w:tabs>
              <w:jc w:val="both"/>
              <w:rPr>
                <w:sz w:val="22"/>
                <w:szCs w:val="22"/>
              </w:rPr>
            </w:pPr>
            <w:r w:rsidRPr="00FB4FEF">
              <w:rPr>
                <w:sz w:val="22"/>
                <w:szCs w:val="22"/>
              </w:rPr>
              <w:t>Nuo 2024 m. iki  2027 m. vykdomas projektas „Ankstyvojo ugdymo užtikrinimas vaikams iš socialinę riziką patiriančių šeimų“, finansuojamas iš VB lėšų. Į ikimokyklinį ugdymą sėkmingai įtraukiami vaikai iš socialinę riziką patiriančių šeimų, kompensuojant šių vaikų išlaikymą ir mokymo priemonių įsigijimą ugdymo įstaigoje.</w:t>
            </w:r>
          </w:p>
        </w:tc>
      </w:tr>
      <w:tr w:rsidR="00745C46" w:rsidRPr="00FB4FEF" w14:paraId="1E59AEA0" w14:textId="77777777" w:rsidTr="00313447">
        <w:trPr>
          <w:jc w:val="center"/>
        </w:trPr>
        <w:tc>
          <w:tcPr>
            <w:tcW w:w="14560" w:type="dxa"/>
            <w:shd w:val="clear" w:color="auto" w:fill="DBE5F1"/>
          </w:tcPr>
          <w:p w14:paraId="2EF594C9"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8-4-2-4-14 Priemonė. Galimybių vykdyti nenumatytas priemones užtikrinimas</w:t>
            </w:r>
          </w:p>
        </w:tc>
      </w:tr>
      <w:tr w:rsidR="00745C46" w:rsidRPr="00FB4FEF" w14:paraId="4699AA62" w14:textId="77777777" w:rsidTr="00313447">
        <w:trPr>
          <w:jc w:val="center"/>
        </w:trPr>
        <w:tc>
          <w:tcPr>
            <w:tcW w:w="14560" w:type="dxa"/>
          </w:tcPr>
          <w:p w14:paraId="718CEE2A" w14:textId="77777777" w:rsidR="00745C46" w:rsidRPr="00FB4FEF" w:rsidRDefault="00745C46" w:rsidP="00313447">
            <w:pPr>
              <w:tabs>
                <w:tab w:val="left" w:pos="34"/>
                <w:tab w:val="left" w:pos="284"/>
                <w:tab w:val="left" w:pos="360"/>
              </w:tabs>
              <w:jc w:val="both"/>
              <w:rPr>
                <w:sz w:val="22"/>
                <w:szCs w:val="22"/>
              </w:rPr>
            </w:pPr>
            <w:r w:rsidRPr="00FB4FEF">
              <w:rPr>
                <w:sz w:val="22"/>
                <w:szCs w:val="22"/>
              </w:rPr>
              <w:t>Priemonė įgyvendinama kasmet, lėšos skiriamos nenumatytų atvejų: mokyklose įvykusių avarijų ir gedimų, šalinimui.</w:t>
            </w:r>
          </w:p>
        </w:tc>
      </w:tr>
      <w:tr w:rsidR="00745C46" w:rsidRPr="00FB4FEF" w14:paraId="40B70A12" w14:textId="77777777" w:rsidTr="00313447">
        <w:trPr>
          <w:jc w:val="center"/>
        </w:trPr>
        <w:tc>
          <w:tcPr>
            <w:tcW w:w="14560" w:type="dxa"/>
            <w:shd w:val="clear" w:color="auto" w:fill="DBE5F1"/>
          </w:tcPr>
          <w:p w14:paraId="102A4573"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8-4-2-4-15 Priemonė. Švietimo įstaigų nemokamo maitinimo patiekalų gamybos išlaidos</w:t>
            </w:r>
          </w:p>
        </w:tc>
      </w:tr>
      <w:tr w:rsidR="00745C46" w:rsidRPr="00FB4FEF" w14:paraId="243AEC96" w14:textId="77777777" w:rsidTr="00313447">
        <w:trPr>
          <w:trHeight w:val="373"/>
          <w:jc w:val="center"/>
        </w:trPr>
        <w:tc>
          <w:tcPr>
            <w:tcW w:w="14560" w:type="dxa"/>
          </w:tcPr>
          <w:p w14:paraId="490A1E58" w14:textId="77777777" w:rsidR="00745C46" w:rsidRPr="00FB4FEF" w:rsidRDefault="00745C46" w:rsidP="00313447">
            <w:pPr>
              <w:tabs>
                <w:tab w:val="left" w:pos="34"/>
                <w:tab w:val="left" w:pos="284"/>
                <w:tab w:val="left" w:pos="360"/>
              </w:tabs>
              <w:jc w:val="both"/>
              <w:rPr>
                <w:sz w:val="22"/>
                <w:szCs w:val="22"/>
              </w:rPr>
            </w:pPr>
            <w:r w:rsidRPr="00FB4FEF">
              <w:rPr>
                <w:sz w:val="22"/>
                <w:szCs w:val="22"/>
              </w:rPr>
              <w:t>Priemonė įgyvendinama kasmet, lėšos skiriamos patiekalų gamybos išlaidoms padengti (maisto produktams įsigyti išlaidos skiriamos iš valstybės biudžeto).</w:t>
            </w:r>
          </w:p>
        </w:tc>
      </w:tr>
    </w:tbl>
    <w:p w14:paraId="33B6E325" w14:textId="77777777" w:rsidR="006C2A1E" w:rsidRDefault="006C2A1E" w:rsidP="00745C46">
      <w:pPr>
        <w:spacing w:after="60"/>
        <w:rPr>
          <w:sz w:val="20"/>
        </w:rPr>
      </w:pPr>
    </w:p>
    <w:sectPr w:rsidR="006C2A1E" w:rsidSect="00A8151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426"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9B5E5" w14:textId="77777777" w:rsidR="00A94CD7" w:rsidRDefault="00A94CD7">
      <w:pPr>
        <w:rPr>
          <w:lang w:eastAsia="lt-LT"/>
        </w:rPr>
      </w:pPr>
      <w:r>
        <w:rPr>
          <w:lang w:eastAsia="lt-LT"/>
        </w:rPr>
        <w:separator/>
      </w:r>
    </w:p>
  </w:endnote>
  <w:endnote w:type="continuationSeparator" w:id="0">
    <w:p w14:paraId="37E8147F" w14:textId="77777777" w:rsidR="00A94CD7" w:rsidRDefault="00A94CD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545FD" w14:textId="77777777" w:rsidR="00A94CD7" w:rsidRDefault="00A94CD7">
      <w:pPr>
        <w:rPr>
          <w:lang w:eastAsia="lt-LT"/>
        </w:rPr>
      </w:pPr>
      <w:r>
        <w:rPr>
          <w:lang w:eastAsia="lt-LT"/>
        </w:rPr>
        <w:separator/>
      </w:r>
    </w:p>
  </w:footnote>
  <w:footnote w:type="continuationSeparator" w:id="0">
    <w:p w14:paraId="12A68CD4" w14:textId="77777777" w:rsidR="00A94CD7" w:rsidRDefault="00A94CD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4AA234AC"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A8151A">
      <w:rPr>
        <w:noProof/>
        <w:lang w:eastAsia="lt-LT"/>
      </w:rPr>
      <w:t>1</w: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GrammaticalError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381"/>
    <w:rsid w:val="000768AB"/>
    <w:rsid w:val="000777BA"/>
    <w:rsid w:val="000826DC"/>
    <w:rsid w:val="00083A2B"/>
    <w:rsid w:val="00083BB4"/>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6BFD"/>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D73A2"/>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38C"/>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B83"/>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1D3"/>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589"/>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369C"/>
    <w:rsid w:val="00486642"/>
    <w:rsid w:val="00486BC3"/>
    <w:rsid w:val="004915BD"/>
    <w:rsid w:val="00491B31"/>
    <w:rsid w:val="00492225"/>
    <w:rsid w:val="00492DBD"/>
    <w:rsid w:val="00494BC2"/>
    <w:rsid w:val="00495B7B"/>
    <w:rsid w:val="00496119"/>
    <w:rsid w:val="00497042"/>
    <w:rsid w:val="0049709F"/>
    <w:rsid w:val="004A0060"/>
    <w:rsid w:val="004A04C1"/>
    <w:rsid w:val="004A270E"/>
    <w:rsid w:val="004A2DCF"/>
    <w:rsid w:val="004A3367"/>
    <w:rsid w:val="004A36F4"/>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255"/>
    <w:rsid w:val="004F335E"/>
    <w:rsid w:val="004F4776"/>
    <w:rsid w:val="004F4A9C"/>
    <w:rsid w:val="004F67A8"/>
    <w:rsid w:val="004F6FF2"/>
    <w:rsid w:val="005005DC"/>
    <w:rsid w:val="00500C6C"/>
    <w:rsid w:val="005029FB"/>
    <w:rsid w:val="0050384D"/>
    <w:rsid w:val="00504E4F"/>
    <w:rsid w:val="00504FF4"/>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14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871"/>
    <w:rsid w:val="005C6A88"/>
    <w:rsid w:val="005C7B6B"/>
    <w:rsid w:val="005C7D02"/>
    <w:rsid w:val="005D1119"/>
    <w:rsid w:val="005D1775"/>
    <w:rsid w:val="005D18A6"/>
    <w:rsid w:val="005D1C3D"/>
    <w:rsid w:val="005D1ECD"/>
    <w:rsid w:val="005D22CC"/>
    <w:rsid w:val="005D2E8E"/>
    <w:rsid w:val="005D3679"/>
    <w:rsid w:val="005D3E1B"/>
    <w:rsid w:val="005D74E6"/>
    <w:rsid w:val="005E0BE7"/>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626E"/>
    <w:rsid w:val="00607A82"/>
    <w:rsid w:val="006114BB"/>
    <w:rsid w:val="00611651"/>
    <w:rsid w:val="00613A0E"/>
    <w:rsid w:val="00614036"/>
    <w:rsid w:val="006153C4"/>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5C46"/>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456C"/>
    <w:rsid w:val="007A5BA4"/>
    <w:rsid w:val="007A65AE"/>
    <w:rsid w:val="007A72D5"/>
    <w:rsid w:val="007A744E"/>
    <w:rsid w:val="007B173F"/>
    <w:rsid w:val="007B1ABE"/>
    <w:rsid w:val="007B1CFD"/>
    <w:rsid w:val="007B3EEB"/>
    <w:rsid w:val="007B4563"/>
    <w:rsid w:val="007B58A3"/>
    <w:rsid w:val="007B7688"/>
    <w:rsid w:val="007C0443"/>
    <w:rsid w:val="007C047D"/>
    <w:rsid w:val="007C0B4B"/>
    <w:rsid w:val="007C16FD"/>
    <w:rsid w:val="007C1F6B"/>
    <w:rsid w:val="007C29F5"/>
    <w:rsid w:val="007C4747"/>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070"/>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0E9"/>
    <w:rsid w:val="0097789C"/>
    <w:rsid w:val="009779AA"/>
    <w:rsid w:val="00977D66"/>
    <w:rsid w:val="00977EFE"/>
    <w:rsid w:val="0098042A"/>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112D"/>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D5578"/>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57B"/>
    <w:rsid w:val="00A50A4D"/>
    <w:rsid w:val="00A51BB6"/>
    <w:rsid w:val="00A53488"/>
    <w:rsid w:val="00A55172"/>
    <w:rsid w:val="00A56E3C"/>
    <w:rsid w:val="00A57FA9"/>
    <w:rsid w:val="00A6089A"/>
    <w:rsid w:val="00A60CA3"/>
    <w:rsid w:val="00A60CB0"/>
    <w:rsid w:val="00A60D55"/>
    <w:rsid w:val="00A65933"/>
    <w:rsid w:val="00A67393"/>
    <w:rsid w:val="00A705D8"/>
    <w:rsid w:val="00A715F0"/>
    <w:rsid w:val="00A71F08"/>
    <w:rsid w:val="00A73F34"/>
    <w:rsid w:val="00A74F2A"/>
    <w:rsid w:val="00A77144"/>
    <w:rsid w:val="00A8151A"/>
    <w:rsid w:val="00A81F92"/>
    <w:rsid w:val="00A82239"/>
    <w:rsid w:val="00A822BC"/>
    <w:rsid w:val="00A83498"/>
    <w:rsid w:val="00A834B3"/>
    <w:rsid w:val="00A90639"/>
    <w:rsid w:val="00A90C1C"/>
    <w:rsid w:val="00A91071"/>
    <w:rsid w:val="00A91850"/>
    <w:rsid w:val="00A91C5A"/>
    <w:rsid w:val="00A94CD7"/>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4EC0"/>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060E"/>
    <w:rsid w:val="00BD10D5"/>
    <w:rsid w:val="00BD1222"/>
    <w:rsid w:val="00BD1641"/>
    <w:rsid w:val="00BD296A"/>
    <w:rsid w:val="00BD32F7"/>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E7581"/>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5E62"/>
    <w:rsid w:val="00C7643D"/>
    <w:rsid w:val="00C76BCB"/>
    <w:rsid w:val="00C77CEB"/>
    <w:rsid w:val="00C81563"/>
    <w:rsid w:val="00C81B68"/>
    <w:rsid w:val="00C81D20"/>
    <w:rsid w:val="00C82B1E"/>
    <w:rsid w:val="00C82CAD"/>
    <w:rsid w:val="00C83A52"/>
    <w:rsid w:val="00C86745"/>
    <w:rsid w:val="00C90958"/>
    <w:rsid w:val="00C909A6"/>
    <w:rsid w:val="00C90A6A"/>
    <w:rsid w:val="00C90A85"/>
    <w:rsid w:val="00C91CB8"/>
    <w:rsid w:val="00C925A2"/>
    <w:rsid w:val="00C92BA7"/>
    <w:rsid w:val="00C930FA"/>
    <w:rsid w:val="00C9314B"/>
    <w:rsid w:val="00C93C49"/>
    <w:rsid w:val="00C942D5"/>
    <w:rsid w:val="00C943E0"/>
    <w:rsid w:val="00C95803"/>
    <w:rsid w:val="00C95A00"/>
    <w:rsid w:val="00C96CD9"/>
    <w:rsid w:val="00CA0688"/>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27D0"/>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618"/>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DF7A49"/>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4E65"/>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3D70"/>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E6B69"/>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0285"/>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9111</Characters>
  <Application>Microsoft Office Word</Application>
  <DocSecurity>0</DocSecurity>
  <Lines>75</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10256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2024-02-08T07:21:00Z</cp:lastPrinted>
  <dcterms:created xsi:type="dcterms:W3CDTF">2026-05-25T06:30:00Z</dcterms:created>
  <dcterms:modified xsi:type="dcterms:W3CDTF">2026-05-25T08:44:00Z</dcterms:modified>
</cp:coreProperties>
</file>