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333A9EE9" w:rsidR="001C20C1" w:rsidRDefault="001C20C1" w:rsidP="001C20C1">
            <w:r>
              <w:t>2024</w:t>
            </w:r>
            <w:r w:rsidR="00266618">
              <w:t xml:space="preserve"> m. kovo </w:t>
            </w:r>
            <w:r w:rsidR="00683365">
              <w:t>28</w:t>
            </w:r>
            <w:r w:rsidR="00266618">
              <w:t xml:space="preserve"> d.</w:t>
            </w:r>
            <w:r>
              <w:t xml:space="preserve"> sprendi</w:t>
            </w:r>
            <w:r w:rsidR="00683365">
              <w:t>mo</w:t>
            </w:r>
            <w:r>
              <w:t xml:space="preserve"> Nr.</w:t>
            </w:r>
            <w:r w:rsidR="002D2303">
              <w:t xml:space="preserve"> T2-</w:t>
            </w:r>
            <w:r w:rsidR="00C147A6">
              <w:t>86</w:t>
            </w:r>
          </w:p>
          <w:p w14:paraId="2E7778DA" w14:textId="1DF87728" w:rsidR="00683365" w:rsidRDefault="00365F1E" w:rsidP="001C20C1">
            <w:r>
              <w:t>3</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529C73AD" w14:textId="13E3E958" w:rsidR="004574A3" w:rsidRDefault="004574A3" w:rsidP="00DF2EFB">
      <w:pPr>
        <w:rPr>
          <w:rFonts w:eastAsia="Calibri"/>
          <w:bCs/>
          <w:color w:val="000000"/>
        </w:rPr>
      </w:pPr>
    </w:p>
    <w:p w14:paraId="62E3A140" w14:textId="3877AD1C" w:rsidR="006B4931" w:rsidRPr="00DF2EFB" w:rsidRDefault="006369AB" w:rsidP="006369AB">
      <w:pPr>
        <w:pStyle w:val="Antrat"/>
        <w:spacing w:after="60"/>
        <w:rPr>
          <w:bCs/>
          <w:i w:val="0"/>
          <w:color w:val="000000" w:themeColor="text1"/>
          <w:sz w:val="24"/>
          <w:szCs w:val="24"/>
        </w:rPr>
      </w:pPr>
      <w:r w:rsidRPr="006369AB">
        <w:rPr>
          <w:b/>
          <w:i w:val="0"/>
          <w:color w:val="000000" w:themeColor="text1"/>
          <w:sz w:val="24"/>
          <w:szCs w:val="24"/>
        </w:rPr>
        <w:fldChar w:fldCharType="begin"/>
      </w:r>
      <w:r w:rsidRPr="006369AB">
        <w:rPr>
          <w:b/>
          <w:i w:val="0"/>
          <w:color w:val="000000" w:themeColor="text1"/>
          <w:sz w:val="24"/>
          <w:szCs w:val="24"/>
        </w:rPr>
        <w:instrText xml:space="preserve"> SEQ lentelė \* ARABIC </w:instrText>
      </w:r>
      <w:r w:rsidRPr="006369AB">
        <w:rPr>
          <w:b/>
          <w:i w:val="0"/>
          <w:color w:val="000000" w:themeColor="text1"/>
          <w:sz w:val="24"/>
          <w:szCs w:val="24"/>
        </w:rPr>
        <w:fldChar w:fldCharType="separate"/>
      </w:r>
      <w:r w:rsidR="00B909BE">
        <w:rPr>
          <w:b/>
          <w:i w:val="0"/>
          <w:noProof/>
          <w:color w:val="000000" w:themeColor="text1"/>
          <w:sz w:val="24"/>
          <w:szCs w:val="24"/>
        </w:rPr>
        <w:t>3</w:t>
      </w:r>
      <w:r w:rsidRPr="006369AB">
        <w:rPr>
          <w:b/>
          <w:i w:val="0"/>
          <w:color w:val="000000" w:themeColor="text1"/>
          <w:sz w:val="24"/>
          <w:szCs w:val="24"/>
        </w:rPr>
        <w:fldChar w:fldCharType="end"/>
      </w:r>
      <w:r w:rsidR="00DF2EFB"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0A777478"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w:t>
            </w:r>
            <w:r w:rsidR="00831A43">
              <w:rPr>
                <w:b/>
                <w:bCs/>
                <w:color w:val="000000" w:themeColor="text1"/>
                <w:sz w:val="22"/>
                <w:szCs w:val="22"/>
              </w:rPr>
              <w:t>8</w:t>
            </w:r>
            <w:r w:rsidRPr="0050384D">
              <w:rPr>
                <w:b/>
                <w:bCs/>
                <w:color w:val="000000" w:themeColor="text1"/>
                <w:sz w:val="22"/>
                <w:szCs w:val="22"/>
              </w:rPr>
              <w:t xml:space="preserve">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poreikiams Lazdininkų, Laukžemės,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455B4469"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r w:rsidR="00831A43">
              <w:rPr>
                <w:bCs/>
                <w:color w:val="000000" w:themeColor="text1"/>
                <w:sz w:val="22"/>
                <w:szCs w:val="22"/>
              </w:rPr>
              <w:t xml:space="preserve"> ir „Kretingos J. Pabrėžos gimnazijos modernizavimas“</w:t>
            </w:r>
            <w:r w:rsidRPr="00153C91">
              <w:rPr>
                <w:bCs/>
                <w:color w:val="000000" w:themeColor="text1"/>
                <w:sz w:val="22"/>
                <w:szCs w:val="22"/>
              </w:rPr>
              <w:t>.</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lastRenderedPageBreak/>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sectPr w:rsidR="00700AD2"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64"/>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618"/>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5F1E"/>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47B"/>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47A6"/>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9158</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2024-03-21T08:57:00Z</dcterms:created>
  <dcterms:modified xsi:type="dcterms:W3CDTF">2024-03-28T14:01:00Z</dcterms:modified>
</cp:coreProperties>
</file>