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13EE" w:rsidRPr="000F7494" w:rsidRDefault="003B13EE" w:rsidP="003B13EE">
      <w:pPr>
        <w:suppressAutoHyphens/>
        <w:spacing w:after="0" w:line="240" w:lineRule="auto"/>
        <w:ind w:left="5103"/>
        <w:jc w:val="both"/>
        <w:rPr>
          <w:rFonts w:ascii="Times New Roman" w:eastAsia="Times New Roman" w:hAnsi="Times New Roman" w:cs="Times New Roman"/>
          <w:caps/>
          <w:kern w:val="2"/>
          <w:sz w:val="24"/>
          <w:szCs w:val="24"/>
          <w:lang w:val="lt-LT" w:eastAsia="ar-SA"/>
        </w:rPr>
      </w:pPr>
      <w:r w:rsidRPr="000F7494">
        <w:rPr>
          <w:rFonts w:ascii="Times New Roman" w:eastAsia="Times New Roman" w:hAnsi="Times New Roman" w:cs="Times New Roman"/>
          <w:caps/>
          <w:kern w:val="2"/>
          <w:sz w:val="24"/>
          <w:szCs w:val="24"/>
          <w:lang w:val="lt-LT" w:eastAsia="ar-SA"/>
        </w:rPr>
        <w:t>PRITARTA</w:t>
      </w:r>
    </w:p>
    <w:p w:rsidR="003B13EE" w:rsidRPr="000F7494" w:rsidRDefault="003B13EE" w:rsidP="003B13EE">
      <w:pPr>
        <w:spacing w:after="0"/>
        <w:ind w:left="5103"/>
        <w:rPr>
          <w:rFonts w:ascii="Times New Roman" w:eastAsia="Calibri" w:hAnsi="Times New Roman" w:cs="Times New Roman"/>
          <w:sz w:val="24"/>
          <w:szCs w:val="24"/>
          <w:lang w:val="lt-LT" w:eastAsia="ar-SA"/>
        </w:rPr>
      </w:pPr>
      <w:r w:rsidRPr="000F7494">
        <w:rPr>
          <w:rFonts w:ascii="Times New Roman" w:eastAsia="Calibri" w:hAnsi="Times New Roman" w:cs="Times New Roman"/>
          <w:sz w:val="24"/>
          <w:szCs w:val="24"/>
          <w:lang w:val="lt-LT" w:eastAsia="ar-SA"/>
        </w:rPr>
        <w:t>Kretingos rajono savivaldybės tarybos</w:t>
      </w:r>
    </w:p>
    <w:p w:rsidR="003B13EE" w:rsidRPr="000F7494" w:rsidRDefault="003B13EE" w:rsidP="003B13EE">
      <w:pPr>
        <w:spacing w:after="0"/>
        <w:ind w:left="5103"/>
        <w:rPr>
          <w:rFonts w:ascii="Times New Roman" w:eastAsia="Calibri" w:hAnsi="Times New Roman" w:cs="Times New Roman"/>
          <w:sz w:val="24"/>
          <w:szCs w:val="24"/>
          <w:lang w:val="lt-LT" w:eastAsia="ar-SA"/>
        </w:rPr>
      </w:pPr>
      <w:r w:rsidRPr="000F7494">
        <w:rPr>
          <w:rFonts w:ascii="Times New Roman" w:eastAsia="Calibri" w:hAnsi="Times New Roman" w:cs="Times New Roman"/>
          <w:sz w:val="24"/>
          <w:szCs w:val="24"/>
          <w:lang w:val="lt-LT" w:eastAsia="ar-SA"/>
        </w:rPr>
        <w:t>20</w:t>
      </w:r>
      <w:r>
        <w:rPr>
          <w:rFonts w:ascii="Times New Roman" w:eastAsia="Calibri" w:hAnsi="Times New Roman" w:cs="Times New Roman"/>
          <w:sz w:val="24"/>
          <w:szCs w:val="24"/>
          <w:lang w:val="lt-LT" w:eastAsia="ar-SA"/>
        </w:rPr>
        <w:t>23</w:t>
      </w:r>
      <w:r w:rsidRPr="000F7494">
        <w:rPr>
          <w:rFonts w:ascii="Times New Roman" w:eastAsia="Calibri" w:hAnsi="Times New Roman" w:cs="Times New Roman"/>
          <w:sz w:val="24"/>
          <w:szCs w:val="24"/>
          <w:lang w:val="lt-LT" w:eastAsia="ar-SA"/>
        </w:rPr>
        <w:t xml:space="preserve"> m. </w:t>
      </w:r>
      <w:r>
        <w:rPr>
          <w:rFonts w:ascii="Times New Roman" w:eastAsia="Calibri" w:hAnsi="Times New Roman" w:cs="Times New Roman"/>
          <w:sz w:val="24"/>
          <w:szCs w:val="24"/>
          <w:lang w:val="lt-LT" w:eastAsia="ar-SA"/>
        </w:rPr>
        <w:t>kovo</w:t>
      </w:r>
      <w:r w:rsidR="002A0B9D">
        <w:rPr>
          <w:rFonts w:ascii="Times New Roman" w:eastAsia="Calibri" w:hAnsi="Times New Roman" w:cs="Times New Roman"/>
          <w:sz w:val="24"/>
          <w:szCs w:val="24"/>
          <w:lang w:val="lt-LT" w:eastAsia="ar-SA"/>
        </w:rPr>
        <w:t xml:space="preserve"> 30</w:t>
      </w:r>
      <w:r w:rsidRPr="000F7494">
        <w:rPr>
          <w:rFonts w:ascii="Times New Roman" w:eastAsia="Calibri" w:hAnsi="Times New Roman" w:cs="Times New Roman"/>
          <w:sz w:val="24"/>
          <w:szCs w:val="24"/>
          <w:lang w:val="lt-LT" w:eastAsia="ar-SA"/>
        </w:rPr>
        <w:t xml:space="preserve"> d. sprendimu Nr. T2-</w:t>
      </w:r>
      <w:r w:rsidR="002A0B9D">
        <w:rPr>
          <w:rFonts w:ascii="Times New Roman" w:eastAsia="Calibri" w:hAnsi="Times New Roman" w:cs="Times New Roman"/>
          <w:sz w:val="24"/>
          <w:szCs w:val="24"/>
          <w:lang w:val="lt-LT" w:eastAsia="ar-SA"/>
        </w:rPr>
        <w:t>68</w:t>
      </w:r>
    </w:p>
    <w:p w:rsidR="003B13EE" w:rsidRDefault="003B13EE" w:rsidP="00BD65E6">
      <w:pPr>
        <w:spacing w:after="0"/>
        <w:jc w:val="center"/>
        <w:rPr>
          <w:rFonts w:ascii="Times New Roman" w:eastAsia="Times New Roman" w:hAnsi="Times New Roman" w:cs="Times New Roman"/>
          <w:b/>
          <w:sz w:val="24"/>
          <w:szCs w:val="24"/>
          <w:lang w:val="lt-LT" w:eastAsia="lt-LT"/>
        </w:rPr>
      </w:pPr>
    </w:p>
    <w:p w:rsidR="00BD65E6" w:rsidRPr="00BD65E6" w:rsidRDefault="00BD65E6" w:rsidP="00BD65E6">
      <w:pPr>
        <w:spacing w:after="0"/>
        <w:jc w:val="center"/>
        <w:rPr>
          <w:rFonts w:ascii="Times New Roman" w:eastAsia="Times New Roman" w:hAnsi="Times New Roman" w:cs="Times New Roman"/>
          <w:b/>
          <w:sz w:val="24"/>
          <w:szCs w:val="24"/>
          <w:lang w:val="lt-LT" w:eastAsia="lt-LT"/>
        </w:rPr>
      </w:pPr>
      <w:r w:rsidRPr="00BD65E6">
        <w:rPr>
          <w:rFonts w:ascii="Times New Roman" w:eastAsia="Times New Roman" w:hAnsi="Times New Roman" w:cs="Times New Roman"/>
          <w:b/>
          <w:sz w:val="24"/>
          <w:szCs w:val="24"/>
          <w:lang w:val="lt-LT" w:eastAsia="lt-LT"/>
        </w:rPr>
        <w:t>KRETINGOS RAJONO SAVIVALDYBĖS KONTROLĖS IR AUDITO TARNYBOS</w:t>
      </w:r>
    </w:p>
    <w:p w:rsidR="00BD65E6" w:rsidRPr="00BD65E6" w:rsidRDefault="00BD65E6" w:rsidP="00BD65E6">
      <w:pPr>
        <w:spacing w:after="0"/>
        <w:jc w:val="center"/>
        <w:rPr>
          <w:rFonts w:ascii="Times New Roman" w:eastAsia="Times New Roman" w:hAnsi="Times New Roman" w:cs="Times New Roman"/>
          <w:b/>
          <w:sz w:val="24"/>
          <w:szCs w:val="24"/>
          <w:lang w:val="lt-LT" w:eastAsia="lt-LT"/>
        </w:rPr>
      </w:pPr>
      <w:r w:rsidRPr="00BD65E6">
        <w:rPr>
          <w:rFonts w:ascii="Times New Roman" w:eastAsia="Times New Roman" w:hAnsi="Times New Roman" w:cs="Times New Roman"/>
          <w:b/>
          <w:sz w:val="24"/>
          <w:szCs w:val="24"/>
          <w:lang w:val="lt-LT" w:eastAsia="lt-LT"/>
        </w:rPr>
        <w:t>2022 METŲ VEIKLOS ATASKAITA</w:t>
      </w:r>
    </w:p>
    <w:p w:rsidR="00BD65E6" w:rsidRPr="00BD65E6" w:rsidRDefault="00BD65E6" w:rsidP="00BD65E6">
      <w:pPr>
        <w:spacing w:after="0"/>
        <w:jc w:val="center"/>
        <w:rPr>
          <w:rFonts w:ascii="Times New Roman" w:eastAsia="Times New Roman" w:hAnsi="Times New Roman" w:cs="Times New Roman"/>
          <w:b/>
          <w:sz w:val="24"/>
          <w:szCs w:val="24"/>
          <w:lang w:val="lt-LT" w:eastAsia="lt-LT"/>
        </w:rPr>
      </w:pPr>
    </w:p>
    <w:p w:rsidR="00BD65E6" w:rsidRPr="00BD65E6" w:rsidRDefault="00BD65E6" w:rsidP="00BD65E6">
      <w:pPr>
        <w:spacing w:after="0"/>
        <w:jc w:val="center"/>
        <w:rPr>
          <w:rFonts w:ascii="Times New Roman" w:eastAsia="Times New Roman" w:hAnsi="Times New Roman" w:cs="Times New Roman"/>
          <w:b/>
          <w:sz w:val="24"/>
          <w:szCs w:val="24"/>
          <w:lang w:val="lt-LT" w:eastAsia="lt-LT"/>
        </w:rPr>
      </w:pPr>
      <w:r w:rsidRPr="00BD65E6">
        <w:rPr>
          <w:rFonts w:ascii="Times New Roman" w:eastAsia="Times New Roman" w:hAnsi="Times New Roman" w:cs="Times New Roman"/>
          <w:b/>
          <w:sz w:val="24"/>
          <w:szCs w:val="24"/>
          <w:lang w:val="lt-LT" w:eastAsia="lt-LT"/>
        </w:rPr>
        <w:t>I SKYRIUS</w:t>
      </w:r>
    </w:p>
    <w:p w:rsidR="00BD65E6" w:rsidRPr="00BD65E6" w:rsidRDefault="00BD65E6" w:rsidP="00BD65E6">
      <w:pPr>
        <w:spacing w:after="0"/>
        <w:jc w:val="center"/>
        <w:rPr>
          <w:rFonts w:ascii="Times New Roman" w:eastAsia="Times New Roman" w:hAnsi="Times New Roman" w:cs="Times New Roman"/>
          <w:b/>
          <w:sz w:val="24"/>
          <w:szCs w:val="24"/>
          <w:lang w:val="lt-LT" w:eastAsia="lt-LT"/>
        </w:rPr>
      </w:pPr>
      <w:r w:rsidRPr="00BD65E6">
        <w:rPr>
          <w:rFonts w:ascii="Times New Roman" w:eastAsia="Times New Roman" w:hAnsi="Times New Roman" w:cs="Times New Roman"/>
          <w:b/>
          <w:sz w:val="24"/>
          <w:szCs w:val="24"/>
          <w:lang w:val="lt-LT" w:eastAsia="lt-LT"/>
        </w:rPr>
        <w:t>ĮŽANGINIS ŽODIS</w:t>
      </w:r>
    </w:p>
    <w:p w:rsidR="00BD65E6" w:rsidRPr="00BD65E6" w:rsidRDefault="00BD65E6" w:rsidP="00BD65E6">
      <w:pPr>
        <w:spacing w:after="0"/>
        <w:jc w:val="center"/>
        <w:rPr>
          <w:rFonts w:ascii="Times New Roman" w:eastAsia="Times New Roman" w:hAnsi="Times New Roman" w:cs="Times New Roman"/>
          <w:b/>
          <w:sz w:val="24"/>
          <w:szCs w:val="24"/>
          <w:lang w:val="lt-LT" w:eastAsia="lt-LT"/>
        </w:rPr>
      </w:pP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 xml:space="preserve">Kretingos rajono savivaldybės Kontrolės ir audito tarnybos (toliau – Tarnyba) 2022 metų veiklos ataskaita parengta ir teikiama Kretingos rajono savivaldybės (toliau – Savivaldybė) tarybai (toliau – Taryba), vadovaujantis Lietuvos Respublikos vietos savivaldos įstatymu (toliau - Vietos savivaldos įstatymas), Tarybos veiklos reglamentu, Tarnybos nuostatais bei kitais teisės aktais. </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Ataskaitoje teikiami duomenys apie Kretingos rajono savivaldybės Kontrolės ir audito tarnybos 2022 metų veiklą ir veiklos rezultatus.</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 xml:space="preserve">Kretingos rajono savivaldybės Kontrolės ir audito tarnyba yra viešasis juridinis asmuo, įgyvendinantis Savivaldybės kontrolės ir audito funkcijas, prižiūrintis, ar teisėtai, efektyviai, ekonomiškai ir rezultatyviai valdomas ir naudojamas Savivaldybės turtas bei patikėjimo teise valdomas valstybės turtas, kaip vykdomas Savivaldybės biudžetas ir naudojami kiti piniginiai ištekliai. </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Tarnyba, įgyvendindama Vietos savivaldos įstatyme nustatytas funkcijas ir suteiktus įgaliojimus, atlieka finansinius, atitikties ir veiklos auditus Savivaldybės administracijoje ir Savivaldybės administravimo subjektuose. Šių auditų tikslas – pareikšti nepriklausomą nuomonę dėl finansinių ir kitų ataskaitų tikrumo ir teisingumo. Be to, atliekant auditus, taip pat siekiama kuo anksčiau atskleisti galimus nukrypimus nuo galiojančio teisinio reglamentavimo bei priimtų standartų, imtis priemonių, kurios ateityje užkirstų kelią pažeidimams arba sumažintų jų atsiradimo galimybę.</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Tarnyba, be teisės aktais jai deleguotų išorės audito funkcijų, vykdo ir bendrąsias biudžetinės įstaigos funkcijas, tai – veiklos planavimo, įstaigos dokumentų rengimo, valdymo, tvarkymo bei registravimo, personalo valdymo ir darbo organizavimo, valstybės tarnautojų mokymo, Tarnybos parengtų dokumentų bylų archyvavimo ir kt. Kretingos rajono savivaldybės tarybos patvirtinti Tarnybos nuostatai yra pagrindinis dokumentas, kuriuo įstaiga vadovaujasi savo veikloje</w:t>
      </w:r>
      <w:r w:rsidRPr="00BD65E6">
        <w:rPr>
          <w:rFonts w:ascii="Times New Roman" w:eastAsia="Times New Roman" w:hAnsi="Times New Roman" w:cs="Times New Roman"/>
          <w:color w:val="000000"/>
          <w:sz w:val="24"/>
          <w:szCs w:val="20"/>
          <w:vertAlign w:val="superscript"/>
          <w:lang w:val="lt-LT"/>
        </w:rPr>
        <w:footnoteReference w:id="1"/>
      </w:r>
      <w:r w:rsidRPr="00BD65E6">
        <w:rPr>
          <w:rFonts w:ascii="Times New Roman" w:eastAsia="Times New Roman" w:hAnsi="Times New Roman" w:cs="Times New Roman"/>
          <w:color w:val="000000"/>
          <w:sz w:val="24"/>
          <w:szCs w:val="20"/>
          <w:lang w:val="lt-LT"/>
        </w:rPr>
        <w:t xml:space="preserve">. </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 xml:space="preserve">Vietos savivaldos įstatymas nurodo, kad Kontrolės ir audito tarnybos veikla grindžiama nepriklausomumo, teisėtumo, viešumo, objektyvumo ir profesionalumo principais. Tarnyba, atlikdama auditus, taip pat vadovaujasi tarptautinių ir nacionalinių audito standartų pritaikymo, nuomonės nepriklausomumo, viešosios atskaitomybės, audituojamo subjekto vadovybės atsakomybės, vidaus kontrolės, duomenų prieinamumo principais. </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 xml:space="preserve">Tarnyba, siekdama pasidalinti profesine patirtimi, gerąja audito praktika, bendradarbiauja išorės auditų klausimais su Valstybės kontrole. Bendradarbiavimo tikslas ir būtinumas grindžiamas tuo, kad Lietuvos Respublikos viešojo sektoriaus atskaitomybės įstatymo 16 straipsniu Tarnybai pavesta atlikti Savivaldybės viešojo sektoriaus subjektų metinių ataskaitų rinkinių auditą, o nacionalinio ataskaitų </w:t>
      </w:r>
      <w:r w:rsidRPr="00BD65E6">
        <w:rPr>
          <w:rFonts w:ascii="Times New Roman" w:eastAsia="Times New Roman" w:hAnsi="Times New Roman" w:cs="Times New Roman"/>
          <w:color w:val="000000"/>
          <w:sz w:val="24"/>
          <w:szCs w:val="20"/>
          <w:lang w:val="lt-LT"/>
        </w:rPr>
        <w:lastRenderedPageBreak/>
        <w:t>rinkinio, į kurį patenka ir Savivaldybės ataskaitų rinkiniai, auditą pavesta atlikti Valstybės kontrolei. Bendradarbiavimas grindžiamas 600-ojo Tarptautinio audito standarto nuostatomis, aptariant ir derinant auditų programas, keičiantis surinkta informacija, pasinaudojant vieni kitų darbo rezultatais.</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Tarnyba bendradarbiauja dalyvaudama Savivaldybių kontrolierių asociacijos veikloje. Savivaldybių kontrolierių asociacija yra Europos Komisijos įsteigtos Europos regionų ir savivaldybių išorės audito institucijų organizacijos (EURORAI) asocijuota narė. Narystė EURORAI organizacijoje reprezentuoja Savivaldybių kontrolierių asociaciją kaip lygiateisį partnerį Europos viešojo sektoriaus regioninių auditorių bendruomenėje, patvirtina Lietuvos savivaldybių kontrolės ir audito tarnybų veiklos nepriklausomumą.</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2022 m. Tarnyboje dirbo 3 darbuotojai. Didelis dėmesys skiriamas Tarnybos darbuotojų kvalifikacijos kėlimui. Atsižvelgiant į Tarptautiniuose audito standartuose nustatytą auditą atliekančių darbuotojų pareigą – nuolat atnaujinti žinias ir tobulinti įgūdžius, per ataskaitinį laikotarpį Tarnybos darbuotojai išklausė 94 akademines valandas mokymų kvalifikacijai kelti, kvalifikacija taip pat buvo keliama kitomis kvalifikacijos tobulinimo formomis.</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2022 metais Tarnyba dirbo pagal Savivaldybės kontrolieriaus 2021-11-17 įsakymu Nr. K5-3 patvirtintą Tarnybos 2022 metų veiklos planą, kuriam pritarė Savivaldybės tarybos Kontrolės komitetas. Planuojant 2022 metų Tarnybos veiklos apimtis, buvo atsižvelgta, kad būtų įgyvendintos visos įstatymais ir kitais teisės aktais pavestos funkcijos. Tarnybos 2022 metų  veiklos planas įvykdytas.</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p>
    <w:p w:rsidR="00BD65E6" w:rsidRPr="00BD65E6" w:rsidRDefault="00BD65E6" w:rsidP="00BD65E6">
      <w:pPr>
        <w:spacing w:after="0"/>
        <w:jc w:val="center"/>
        <w:rPr>
          <w:rFonts w:ascii="Times New Roman" w:eastAsia="Times New Roman" w:hAnsi="Times New Roman" w:cs="Times New Roman"/>
          <w:b/>
          <w:sz w:val="24"/>
          <w:szCs w:val="24"/>
          <w:lang w:val="lt-LT" w:eastAsia="lt-LT"/>
        </w:rPr>
      </w:pPr>
      <w:r w:rsidRPr="00BD65E6">
        <w:rPr>
          <w:rFonts w:ascii="Times New Roman" w:eastAsia="Times New Roman" w:hAnsi="Times New Roman" w:cs="Times New Roman"/>
          <w:b/>
          <w:sz w:val="24"/>
          <w:szCs w:val="24"/>
          <w:lang w:val="lt-LT" w:eastAsia="lt-LT"/>
        </w:rPr>
        <w:t>II SKYRIUS</w:t>
      </w:r>
    </w:p>
    <w:p w:rsidR="00BD65E6" w:rsidRPr="00BD65E6" w:rsidRDefault="00BD65E6" w:rsidP="00BD65E6">
      <w:pPr>
        <w:spacing w:after="0"/>
        <w:jc w:val="center"/>
        <w:rPr>
          <w:rFonts w:ascii="Times New Roman" w:eastAsia="Times New Roman" w:hAnsi="Times New Roman" w:cs="Times New Roman"/>
          <w:b/>
          <w:sz w:val="24"/>
          <w:szCs w:val="24"/>
          <w:lang w:val="lt-LT" w:eastAsia="lt-LT"/>
        </w:rPr>
      </w:pPr>
      <w:r w:rsidRPr="00BD65E6">
        <w:rPr>
          <w:rFonts w:ascii="Times New Roman" w:eastAsia="Times New Roman" w:hAnsi="Times New Roman" w:cs="Times New Roman"/>
          <w:b/>
          <w:sz w:val="24"/>
          <w:szCs w:val="24"/>
          <w:lang w:val="lt-LT" w:eastAsia="lt-LT"/>
        </w:rPr>
        <w:t>VEIKLOS REZULTATAI</w:t>
      </w:r>
    </w:p>
    <w:p w:rsidR="00BD65E6" w:rsidRPr="00BD65E6" w:rsidRDefault="00BD65E6" w:rsidP="00BD65E6">
      <w:pPr>
        <w:spacing w:after="0"/>
        <w:jc w:val="center"/>
        <w:rPr>
          <w:rFonts w:ascii="Times New Roman" w:eastAsia="Times New Roman" w:hAnsi="Times New Roman" w:cs="Times New Roman"/>
          <w:sz w:val="24"/>
          <w:szCs w:val="24"/>
          <w:lang w:val="lt-LT" w:eastAsia="lt-LT"/>
        </w:rPr>
      </w:pPr>
    </w:p>
    <w:p w:rsidR="00BD65E6" w:rsidRPr="00BD65E6" w:rsidRDefault="00BD65E6" w:rsidP="00BD65E6">
      <w:pPr>
        <w:widowControl w:val="0"/>
        <w:spacing w:after="0"/>
        <w:ind w:firstLine="851"/>
        <w:jc w:val="both"/>
        <w:rPr>
          <w:rFonts w:ascii="Times New Roman" w:eastAsia="Times New Roman" w:hAnsi="Times New Roman" w:cs="Times New Roman"/>
          <w:i/>
          <w:color w:val="000000"/>
          <w:sz w:val="24"/>
          <w:szCs w:val="20"/>
          <w:u w:val="single"/>
          <w:lang w:val="lt-LT"/>
        </w:rPr>
      </w:pPr>
      <w:r w:rsidRPr="00BD65E6">
        <w:rPr>
          <w:rFonts w:ascii="Times New Roman" w:eastAsia="Times New Roman" w:hAnsi="Times New Roman" w:cs="Times New Roman"/>
          <w:i/>
          <w:color w:val="000000"/>
          <w:sz w:val="24"/>
          <w:szCs w:val="20"/>
          <w:u w:val="single"/>
          <w:lang w:val="lt-LT"/>
        </w:rPr>
        <w:t>Išvados, pateiktos Tarybai</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Vietos savivaldos įstatymas numato Tarnybos pareigą rengti ir teikti Tarybai jos sprendimams priimti reikalingas išvadas. 2022 metais Tarnyba parengė ir pateikė Tarybai išvadas:</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 dėl Savivaldybės galimybės imti 1 103,7 tūkst. Eur ilgalaikę banko paskolą investiciniams projektams finansuoti. Atsižvelgiant į tai, Taryba 2022 m. kovo 31 d. vykusio posėdžio metu priėmė sprendimą Nr. T2-84 „Dėl leidimo paimti ilgalaikę banko paskolą“;</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 dėl Savivaldybės galimybės suteikti 78,7 tūkst. Eur garantiją už uždarosios akcinės bendrovės „Kretingos vandenys“ prisiimamus įsipareigojimus pagal paskolos sutartį. Atsižvelgiant į tai, Taryba 2022 m. spalio 27 d. vykusio posėdžio metu priėmė sprendimą Nr. T2-263 „Dėl garantijos suteikimo UAB „Kretingos vandenys“ ilgalaikei paskolai gauti“ ;</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 xml:space="preserve">- dėl Kretingos rajono savivaldybės 2021 metų konsoliduotųjų ataskaitų rinkinio.  Savivaldybės konsoliduotųjų ataskaitų rinkinį sudaro Savivaldybės konsoliduotųjų biudžeto vykdymo ataskaitų rinkinys ir Savivaldybės konsoliduotųjų finansinių ataskaitų rinkinys. Šios išvados duomenims pagrįsti atliktas auditas, surinkti įrodymai dėl teikiamos Tarybai ataskaitos teisingumo. Tarnyba audito išvadoje pateikė nuomones: besąlyginė nuomonė dėl Savivaldybės 2021 metų  konsoliduotųjų biudžeto vykdymo ataskaitų rinkinio duomenų; sąlyginė nuomonė dėl Savivaldybės 2021 metų konsoliduotųjų finansinių ataskaitų rinkinio duomenų. Tai, kas buvo nustatyta audito metu, buvo išdėstyta ataskaitoje, kuri aprobuota kartu su Kretingos rajono savivaldybės 2021 metų biudžeto vykdymo ataskaitų rinkiniu ir 2021 metų konsoliduotųjų finansinių ataskaitų rinkiniu Kretingos rajono savivaldybės tarybos 2022 m. rugpjūčio 25 d. posėdyje, priimti sprendimai: Nr. T2-207 „Dėl Kretingos rajono savivaldybės 2021 metų </w:t>
      </w:r>
      <w:r w:rsidRPr="00BD65E6">
        <w:rPr>
          <w:rFonts w:ascii="Times New Roman" w:eastAsia="Times New Roman" w:hAnsi="Times New Roman" w:cs="Times New Roman"/>
          <w:color w:val="000000"/>
          <w:sz w:val="24"/>
          <w:szCs w:val="20"/>
          <w:lang w:val="lt-LT"/>
        </w:rPr>
        <w:lastRenderedPageBreak/>
        <w:t>biudžeto vykdymo ataskaitų rinkinio tvirtinimo“ ir Nr. T2-208 „Dėl Kretingos rajono savivaldybės 2021 metų konsoliduotųjų finansinių ataskaitų rinkinio patvirtinimo“.</w:t>
      </w:r>
    </w:p>
    <w:p w:rsidR="00BD65E6" w:rsidRPr="00BD65E6" w:rsidRDefault="00BD65E6" w:rsidP="00BD65E6">
      <w:pPr>
        <w:tabs>
          <w:tab w:val="left" w:pos="9540"/>
        </w:tabs>
        <w:spacing w:after="0" w:line="240" w:lineRule="auto"/>
        <w:ind w:right="-82" w:firstLine="851"/>
        <w:jc w:val="both"/>
        <w:rPr>
          <w:rFonts w:ascii="Times New Roman" w:eastAsia="Times New Roman" w:hAnsi="Times New Roman" w:cs="Times New Roman"/>
          <w:sz w:val="24"/>
          <w:szCs w:val="24"/>
          <w:lang w:val="lt-LT" w:eastAsia="lt-LT"/>
        </w:rPr>
      </w:pPr>
    </w:p>
    <w:p w:rsidR="00BD65E6" w:rsidRPr="00BD65E6" w:rsidRDefault="00BD65E6" w:rsidP="00BD65E6">
      <w:pPr>
        <w:widowControl w:val="0"/>
        <w:spacing w:after="0"/>
        <w:ind w:firstLine="851"/>
        <w:jc w:val="both"/>
        <w:rPr>
          <w:rFonts w:ascii="Times New Roman" w:eastAsia="Times New Roman" w:hAnsi="Times New Roman" w:cs="Times New Roman"/>
          <w:i/>
          <w:color w:val="000000"/>
          <w:sz w:val="24"/>
          <w:szCs w:val="20"/>
          <w:u w:val="single"/>
          <w:lang w:val="lt-LT"/>
        </w:rPr>
      </w:pPr>
      <w:r w:rsidRPr="00BD65E6">
        <w:rPr>
          <w:rFonts w:ascii="Times New Roman" w:eastAsia="Times New Roman" w:hAnsi="Times New Roman" w:cs="Times New Roman"/>
          <w:i/>
          <w:color w:val="000000"/>
          <w:sz w:val="24"/>
          <w:szCs w:val="20"/>
          <w:u w:val="single"/>
          <w:lang w:val="lt-LT"/>
        </w:rPr>
        <w:t>Finansiniai (teisėtumo) auditai</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 xml:space="preserve">Finansinio audito tikslas – įvertinti audituojamo subjekto metinių (konsoliduotųjų) finansinių ir biudžeto vykdymo ataskaitų rinkinių duomenis ir pareikšti nepriklausomą nuomonę dėl finansinių ir kitų ataskaitų tikrumo ir teisingumo, taip pat įvertinti audituojamo subjekto turto valdymo, naudojimo ir disponavimo juo teisėtumą. </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Atliekant Kretingos rajono savivaldybės 2021 metų konsoliduotųjų ataskaitų rinkinio finansinį ir teisėtumo auditą buvo analizuojami Savivaldybės viešojo sektoriaus subjektų grupės, kurią sudaro Savivaldybės administracija ir Savivaldybės kontroliuojami viešojo sektoriaus subjektai, biudžeto ir finansinių ataskaitų duomenys, kurie konsoliduojami rengiant 2021 metų Savivaldybės konsoliduotųjų ataskaitų rinkinį. 2021 metais į Savivaldybės konsoliduotųjų finansinių ataskaitų rinkinį buvo įtrauktos 38 komponentų finansinės ataskaitos (37 Savivaldybės kontroliuojamo viešojo sektoriaus subjekto (32 biudžetinių įstaigų ir 5 viešųjų įstaigų) ir 1 fondo (iždo) metinių finansinių ataskaitų rinkiniai), į Savivaldybės konsoliduotųjų biudžeto vykdymo ataskaitų rinkinį - 32 asignavimų valdytojų metinių biudžeto vykdymo ataskaitų rinkiniai. Audito metu buvo nustatyti neatitikimai teisės aktų reikalavimams bei teikti pastebėjimai dėl nebaigtos kelių ir gatvių, esančių Savivaldybės vietinės reikšmės kelių sąraše, teisinės registracijos, nebaigto kilnojamųjų kultūros vertybių (eksponatų) vertinimo,  neatliktos želdynų ir želdinių inventorizacijos Savivaldybės lygiu, Savivaldybės švietimo įstaigų bibliotekų fondų vertės teisingumo, Savivaldybės strateginio planavimo vidaus kontrolės, siekiant užtikrinti atsiskaitymą už pasiektus rezultatus, ir kt.</w:t>
      </w:r>
    </w:p>
    <w:p w:rsidR="00BD65E6" w:rsidRPr="00BD65E6" w:rsidRDefault="00BD65E6" w:rsidP="00BD65E6">
      <w:pPr>
        <w:tabs>
          <w:tab w:val="left" w:pos="9540"/>
        </w:tabs>
        <w:spacing w:after="0" w:line="240" w:lineRule="auto"/>
        <w:ind w:firstLine="851"/>
        <w:jc w:val="both"/>
        <w:rPr>
          <w:rFonts w:ascii="Times New Roman" w:eastAsia="Times New Roman" w:hAnsi="Times New Roman" w:cs="Times New Roman"/>
          <w:i/>
          <w:sz w:val="24"/>
          <w:szCs w:val="24"/>
          <w:u w:val="single"/>
          <w:lang w:val="lt-LT" w:eastAsia="ar-SA"/>
        </w:rPr>
      </w:pPr>
    </w:p>
    <w:p w:rsidR="00BD65E6" w:rsidRPr="00BD65E6" w:rsidRDefault="00BD65E6" w:rsidP="00BD65E6">
      <w:pPr>
        <w:widowControl w:val="0"/>
        <w:spacing w:after="0"/>
        <w:ind w:firstLine="851"/>
        <w:jc w:val="both"/>
        <w:rPr>
          <w:rFonts w:ascii="Times New Roman" w:eastAsia="Times New Roman" w:hAnsi="Times New Roman" w:cs="Times New Roman"/>
          <w:i/>
          <w:color w:val="000000"/>
          <w:sz w:val="24"/>
          <w:szCs w:val="20"/>
          <w:u w:val="single"/>
          <w:lang w:val="lt-LT"/>
        </w:rPr>
      </w:pPr>
      <w:r w:rsidRPr="00BD65E6">
        <w:rPr>
          <w:rFonts w:ascii="Times New Roman" w:eastAsia="Times New Roman" w:hAnsi="Times New Roman" w:cs="Times New Roman"/>
          <w:i/>
          <w:color w:val="000000"/>
          <w:sz w:val="24"/>
          <w:szCs w:val="20"/>
          <w:u w:val="single"/>
          <w:lang w:val="lt-LT"/>
        </w:rPr>
        <w:t xml:space="preserve">Veiklos, atitikties auditai </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Veiklos auditai atliekami, siekiant įvertinti audituojamo subjekto veiklą ekonomiškumo, efektyvumo ir rezultatyvumo požiūriu. Atitikties audito metu vertinama audituojamo subjekto veiklos atitiktis teisės aktų ir (ar) kitiems reikalavimams.</w:t>
      </w:r>
    </w:p>
    <w:p w:rsidR="00BD65E6" w:rsidRPr="00BD65E6" w:rsidRDefault="00BD65E6" w:rsidP="00BD65E6">
      <w:pPr>
        <w:widowControl w:val="0"/>
        <w:spacing w:after="0"/>
        <w:ind w:firstLine="851"/>
        <w:jc w:val="both"/>
        <w:rPr>
          <w:rFonts w:ascii="Times New Roman" w:eastAsia="Times New Roman" w:hAnsi="Times New Roman" w:cs="Times New Roman"/>
          <w:sz w:val="24"/>
          <w:szCs w:val="24"/>
          <w:lang w:val="lt-LT" w:eastAsia="lt-LT"/>
        </w:rPr>
      </w:pPr>
      <w:r w:rsidRPr="00BD65E6">
        <w:rPr>
          <w:rFonts w:ascii="Times New Roman" w:eastAsia="Calibri" w:hAnsi="Times New Roman" w:cs="Times New Roman"/>
          <w:sz w:val="24"/>
          <w:szCs w:val="24"/>
          <w:lang w:val="lt-LT"/>
        </w:rPr>
        <w:t xml:space="preserve">2022 m. atliktas </w:t>
      </w:r>
      <w:r w:rsidRPr="00BD65E6">
        <w:rPr>
          <w:rFonts w:ascii="Times New Roman" w:hAnsi="Times New Roman" w:cs="Times New Roman"/>
          <w:bCs/>
          <w:sz w:val="24"/>
          <w:szCs w:val="24"/>
          <w:lang w:val="lt-LT"/>
        </w:rPr>
        <w:t xml:space="preserve">Savivaldybės biudžeto asignavimų, skirtų piniginei socialinei paramai, perskirstymo ir panaudojimo atitikties vertinimo auditas. </w:t>
      </w:r>
      <w:r w:rsidRPr="00BD65E6">
        <w:rPr>
          <w:rFonts w:ascii="Times New Roman" w:eastAsia="Times New Roman" w:hAnsi="Times New Roman" w:cs="Times New Roman"/>
          <w:sz w:val="24"/>
          <w:szCs w:val="24"/>
          <w:lang w:val="lt-LT" w:eastAsia="lt-LT"/>
        </w:rPr>
        <w:t>Šio audito tikslas buvo įvertinti, ar Savivaldybės vidaus teisės aktai, reglamentuojantys piniginės socialinės paramos teikimą, atitinka teisės aktų reikalavimus, ar nepanaudotos Savivaldybės biudžeto lėšos piniginei socialinei paramai perskirstytos ir panaudotos teisės aktų nustatyta tvarka. Atlikus auditą, pateiktos rekomendacijos inicijuoti teisės aktų, reglamentuojančių piniginės socialinės paramos teikimo Savivaldybės gyventojams, pakeitimus, skirstant nepanaudotas Savivaldybės biudžeto lėšas, skirtas piniginei socialinei paramai, laikytis Lietuvos Respublikos piniginės socialinės paramos nepasiturintiems gyventojams įstatymo  nuostatų dėl prioritetinių socialinės apsaugos sričių finansavimo.</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Calibri" w:hAnsi="Times New Roman" w:cs="Times New Roman"/>
          <w:sz w:val="24"/>
          <w:szCs w:val="24"/>
          <w:lang w:val="lt-LT"/>
        </w:rPr>
        <w:t xml:space="preserve">2022 m. atliktas didelės apimties </w:t>
      </w:r>
      <w:r w:rsidRPr="00BD65E6">
        <w:rPr>
          <w:rFonts w:ascii="Times New Roman" w:hAnsi="Times New Roman" w:cs="Times New Roman"/>
          <w:bCs/>
          <w:sz w:val="24"/>
          <w:szCs w:val="24"/>
          <w:lang w:val="lt-LT"/>
        </w:rPr>
        <w:t>Savivaldybės švietimo įstaigų</w:t>
      </w:r>
      <w:r w:rsidRPr="00BD65E6">
        <w:rPr>
          <w:rFonts w:ascii="Times New Roman" w:hAnsi="Times New Roman" w:cs="Times New Roman"/>
          <w:bCs/>
          <w:sz w:val="24"/>
          <w:szCs w:val="24"/>
          <w:vertAlign w:val="superscript"/>
          <w:lang w:val="lt-LT"/>
        </w:rPr>
        <w:footnoteReference w:id="2"/>
      </w:r>
      <w:r w:rsidRPr="00BD65E6">
        <w:rPr>
          <w:rFonts w:ascii="Times New Roman" w:hAnsi="Times New Roman" w:cs="Times New Roman"/>
          <w:bCs/>
          <w:sz w:val="24"/>
          <w:szCs w:val="24"/>
          <w:lang w:val="lt-LT"/>
        </w:rPr>
        <w:t xml:space="preserve"> bibliotekų fondų apskaitos </w:t>
      </w:r>
      <w:r w:rsidRPr="00BD65E6">
        <w:rPr>
          <w:rFonts w:ascii="Times New Roman" w:hAnsi="Times New Roman" w:cs="Times New Roman"/>
          <w:bCs/>
          <w:sz w:val="24"/>
          <w:szCs w:val="24"/>
          <w:lang w:val="lt-LT"/>
        </w:rPr>
        <w:lastRenderedPageBreak/>
        <w:t xml:space="preserve">vertinimo atitikties auditas </w:t>
      </w:r>
      <w:r w:rsidRPr="00BD65E6">
        <w:rPr>
          <w:rFonts w:ascii="Times New Roman" w:eastAsia="Times New Roman" w:hAnsi="Times New Roman" w:cs="Times New Roman"/>
          <w:bCs/>
          <w:sz w:val="24"/>
          <w:szCs w:val="24"/>
          <w:lang w:val="lt-LT" w:eastAsia="lt-LT"/>
        </w:rPr>
        <w:t>parodė, kad</w:t>
      </w:r>
      <w:r w:rsidRPr="00BD65E6">
        <w:rPr>
          <w:rFonts w:ascii="Times New Roman" w:eastAsia="Times New Roman" w:hAnsi="Times New Roman" w:cs="Times New Roman"/>
          <w:b/>
          <w:bCs/>
          <w:sz w:val="24"/>
          <w:szCs w:val="24"/>
          <w:lang w:val="lt-LT" w:eastAsia="lt-LT"/>
        </w:rPr>
        <w:t xml:space="preserve"> </w:t>
      </w:r>
      <w:r w:rsidRPr="00BD65E6">
        <w:rPr>
          <w:rFonts w:ascii="Times New Roman" w:eastAsia="Times New Roman" w:hAnsi="Times New Roman" w:cs="Times New Roman"/>
          <w:sz w:val="24"/>
          <w:szCs w:val="24"/>
          <w:lang w:val="lt-LT" w:eastAsia="lt-LT"/>
        </w:rPr>
        <w:t xml:space="preserve">būtina stiprinti </w:t>
      </w:r>
      <w:r w:rsidRPr="00BD65E6">
        <w:rPr>
          <w:rFonts w:ascii="Times New Roman" w:hAnsi="Times New Roman" w:cs="Times New Roman"/>
          <w:sz w:val="24"/>
          <w:szCs w:val="24"/>
          <w:lang w:val="lt-LT"/>
        </w:rPr>
        <w:t xml:space="preserve">švietimo įstaigų bibliotekų koordinavimą, inicijuojant Savivaldybės administracijos </w:t>
      </w:r>
      <w:r w:rsidRPr="00BD65E6">
        <w:rPr>
          <w:rFonts w:ascii="Times New Roman" w:eastAsia="Times New Roman" w:hAnsi="Times New Roman" w:cs="Times New Roman"/>
          <w:color w:val="000000"/>
          <w:sz w:val="24"/>
          <w:szCs w:val="20"/>
          <w:lang w:val="lt-LT"/>
        </w:rPr>
        <w:t>Švietimo skyriaus nuostatų papildymą, numatant švietimo įstaigų bibliotekų koordinavimo funkciją, ir paskiriant už tai atsakingus asmenis, taip pat būtina skirti dėmesį vienai iš kontrolės priemonių – patikrinimams ir inventorizacijai, kad bibliotekų fondų apskaitos duomenys būtų pagrįsti fondų patikrinimų bei inventorizacijos duomenimis. Pastebėta, kad netolygiai paskirstomos lėšos bibliotekų fondų atnaujinimui (įsigijimui), taip pat ne visose švietimo įstaigų bibliotekose naudojamasi informacinėmis sistemomis.</w:t>
      </w:r>
    </w:p>
    <w:p w:rsidR="00BD65E6" w:rsidRPr="00BD65E6" w:rsidRDefault="00BD65E6" w:rsidP="00BD65E6">
      <w:pPr>
        <w:widowControl w:val="0"/>
        <w:spacing w:after="0"/>
        <w:ind w:firstLine="851"/>
        <w:jc w:val="both"/>
        <w:rPr>
          <w:rFonts w:ascii="Times New Roman" w:eastAsia="Times New Roman" w:hAnsi="Times New Roman" w:cs="Times New Roman"/>
          <w:color w:val="000000"/>
          <w:sz w:val="24"/>
          <w:szCs w:val="20"/>
          <w:lang w:val="lt-LT"/>
        </w:rPr>
      </w:pPr>
      <w:r w:rsidRPr="00BD65E6">
        <w:rPr>
          <w:rFonts w:ascii="Times New Roman" w:eastAsia="Times New Roman" w:hAnsi="Times New Roman" w:cs="Times New Roman"/>
          <w:color w:val="000000"/>
          <w:sz w:val="24"/>
          <w:szCs w:val="20"/>
          <w:lang w:val="lt-LT"/>
        </w:rPr>
        <w:t xml:space="preserve">Ataskaitiniu laikotarpiu buvo pradėtas Savivaldybės informacinių sistemų (IS) naudojimo veiklos auditą. Audito metu planuojama įvertinti Savivaldybės informacinių sistemų (IS) naudojimo efektyvumą. </w:t>
      </w:r>
    </w:p>
    <w:p w:rsidR="00BD65E6" w:rsidRPr="00BD65E6" w:rsidRDefault="00BD65E6" w:rsidP="00BD65E6">
      <w:pPr>
        <w:spacing w:after="0" w:line="240" w:lineRule="auto"/>
        <w:ind w:firstLine="851"/>
        <w:jc w:val="both"/>
        <w:rPr>
          <w:rFonts w:ascii="Times New Roman" w:eastAsia="Calibri" w:hAnsi="Times New Roman" w:cs="Times New Roman"/>
          <w:color w:val="000000"/>
          <w:sz w:val="24"/>
          <w:szCs w:val="24"/>
          <w:lang w:val="lt-LT"/>
        </w:rPr>
      </w:pPr>
    </w:p>
    <w:p w:rsidR="00BD65E6" w:rsidRPr="00BD65E6" w:rsidRDefault="00BD65E6" w:rsidP="00BD65E6">
      <w:pPr>
        <w:spacing w:after="0"/>
        <w:jc w:val="center"/>
        <w:rPr>
          <w:rFonts w:ascii="Times New Roman" w:eastAsia="Times New Roman" w:hAnsi="Times New Roman" w:cs="Times New Roman"/>
          <w:b/>
          <w:sz w:val="24"/>
          <w:szCs w:val="24"/>
          <w:lang w:val="lt-LT" w:eastAsia="lt-LT"/>
        </w:rPr>
      </w:pPr>
      <w:r w:rsidRPr="00BD65E6">
        <w:rPr>
          <w:rFonts w:ascii="Times New Roman" w:eastAsia="Times New Roman" w:hAnsi="Times New Roman" w:cs="Times New Roman"/>
          <w:b/>
          <w:sz w:val="24"/>
          <w:szCs w:val="24"/>
          <w:lang w:val="lt-LT" w:eastAsia="lt-LT"/>
        </w:rPr>
        <w:t>III SKYRIUS</w:t>
      </w:r>
    </w:p>
    <w:p w:rsidR="00BD65E6" w:rsidRPr="00BD65E6" w:rsidRDefault="00BD65E6" w:rsidP="00BD65E6">
      <w:pPr>
        <w:spacing w:after="0"/>
        <w:jc w:val="center"/>
        <w:rPr>
          <w:rFonts w:ascii="Times New Roman" w:eastAsia="Times New Roman" w:hAnsi="Times New Roman" w:cs="Times New Roman"/>
          <w:sz w:val="24"/>
          <w:szCs w:val="24"/>
          <w:lang w:val="lt-LT" w:eastAsia="lt-LT"/>
        </w:rPr>
      </w:pPr>
      <w:r w:rsidRPr="00BD65E6">
        <w:rPr>
          <w:rFonts w:ascii="Times New Roman" w:eastAsia="Times New Roman" w:hAnsi="Times New Roman" w:cs="Times New Roman"/>
          <w:b/>
          <w:sz w:val="24"/>
          <w:szCs w:val="24"/>
          <w:lang w:val="lt-LT" w:eastAsia="lt-LT"/>
        </w:rPr>
        <w:t xml:space="preserve">VEIKLOS VEIKSMINGUMAS </w:t>
      </w:r>
    </w:p>
    <w:p w:rsidR="00BD65E6" w:rsidRPr="00BD65E6" w:rsidRDefault="00BD65E6" w:rsidP="00BD65E6">
      <w:pPr>
        <w:spacing w:after="0" w:line="240" w:lineRule="auto"/>
        <w:ind w:firstLine="851"/>
        <w:jc w:val="both"/>
        <w:rPr>
          <w:rFonts w:ascii="Times New Roman" w:eastAsia="Times New Roman" w:hAnsi="Times New Roman" w:cs="Times New Roman"/>
          <w:bCs/>
          <w:sz w:val="24"/>
          <w:szCs w:val="24"/>
          <w:lang w:val="lt-LT" w:eastAsia="ar-SA"/>
        </w:rPr>
      </w:pPr>
    </w:p>
    <w:p w:rsidR="00BD65E6" w:rsidRPr="00BD65E6" w:rsidRDefault="00BD65E6" w:rsidP="00BD65E6">
      <w:pPr>
        <w:widowControl w:val="0"/>
        <w:spacing w:after="0"/>
        <w:ind w:firstLine="851"/>
        <w:jc w:val="both"/>
        <w:rPr>
          <w:rFonts w:ascii="Times New Roman" w:eastAsia="Times New Roman" w:hAnsi="Times New Roman" w:cs="Times New Roman"/>
          <w:sz w:val="24"/>
          <w:szCs w:val="24"/>
          <w:lang w:val="lt-LT" w:eastAsia="lt-LT"/>
        </w:rPr>
      </w:pPr>
      <w:r w:rsidRPr="00BD65E6">
        <w:rPr>
          <w:rFonts w:ascii="Times New Roman" w:eastAsia="Times New Roman" w:hAnsi="Times New Roman" w:cs="Times New Roman"/>
          <w:sz w:val="24"/>
          <w:szCs w:val="24"/>
          <w:lang w:val="lt-LT" w:eastAsia="lt-LT"/>
        </w:rPr>
        <w:t xml:space="preserve">Tarnyba Savivaldybės administracijai ir kitiems asignavimų valdytojams, siekiant, kad būtų ištaisyti ir nepasikartotų nustatyti trūkumai, teikė rekomendacijas, užtikrinančias Savivaldybės turto ir lėšų efektyvų, taupų ir rezultatyvų panaudojimą, vidaus kontrolės sistemos veikimą. Dauguma rekomendacijų yra įvykdytos ir / ar priimtos priemonės dėl jų įvykdymo: eliminavus rekomendacijas, kurių įgyvendinimo terminas dar nepasibaigęs, nustatyta, kad įgyvendinta arba įgyvendinama 89 proc. Tarnybos teiktų rekomendacijų. Rekomendacijų įgyvendinimas ypač svarbus siekiant pažangos viešajame sektoriuje, taip pat parodo audituojamo subjekto ir srities, kurioje jis veikia, siekį efektyvinti veiklą, įgyvendinant rekomendacijas prisidėti prie teigiamų pokyčių savo veiklos srityje. </w:t>
      </w:r>
    </w:p>
    <w:p w:rsidR="00BD65E6" w:rsidRPr="00BD65E6" w:rsidRDefault="00BD65E6" w:rsidP="00BD65E6">
      <w:pPr>
        <w:widowControl w:val="0"/>
        <w:spacing w:after="0"/>
        <w:ind w:firstLine="851"/>
        <w:jc w:val="both"/>
        <w:rPr>
          <w:rFonts w:ascii="Times New Roman" w:eastAsia="Times New Roman" w:hAnsi="Times New Roman" w:cs="Times New Roman"/>
          <w:sz w:val="24"/>
          <w:szCs w:val="24"/>
          <w:lang w:val="lt-LT" w:eastAsia="lt-LT"/>
        </w:rPr>
      </w:pPr>
      <w:r w:rsidRPr="00BD65E6">
        <w:rPr>
          <w:rFonts w:ascii="Times New Roman" w:eastAsia="Times New Roman" w:hAnsi="Times New Roman" w:cs="Times New Roman"/>
          <w:sz w:val="24"/>
          <w:szCs w:val="24"/>
          <w:lang w:val="lt-LT" w:eastAsia="lt-LT"/>
        </w:rPr>
        <w:t>Siekdama užtikrinti Tarnybos veiklos veiksmingumą, stebėti ir stiprinti audito poveikį, atskaitingumą už vykdomos veiklos rezultatus, įstaiga nuolat vykdo audito rekomendacijų įgyvendinimo stebėseną. Atlikus rekomendacijų įgyvendinimo stebėseną tenka konstatuoti, kad įstaigoms dar trūksta atsakomybės įgyvendinti rekomendacijas laiku arba tinkamai suplanuoti rekomendacijų įgyvendinimo terminus. Nors audituoti subjektai imasi veiksmų rekomendacijoms įgyvendinti ir 2022 metais rekomendacijų įgyvendinimas, palyginus su 2021 metais, pagerėjo,  tačiau iš neįgyvendintų rekomendacijų net 50 proc. rekomendacijų vėluojama įgyvendinti.</w:t>
      </w:r>
    </w:p>
    <w:p w:rsidR="00BD65E6" w:rsidRPr="00BD65E6" w:rsidRDefault="00BD65E6" w:rsidP="00BD65E6">
      <w:pPr>
        <w:widowControl w:val="0"/>
        <w:spacing w:after="0"/>
        <w:ind w:firstLine="851"/>
        <w:jc w:val="both"/>
        <w:rPr>
          <w:rFonts w:ascii="Times New Roman" w:eastAsia="Times New Roman" w:hAnsi="Times New Roman" w:cs="Times New Roman"/>
          <w:sz w:val="24"/>
          <w:szCs w:val="24"/>
          <w:lang w:val="lt-LT" w:eastAsia="lt-LT"/>
        </w:rPr>
      </w:pPr>
      <w:r w:rsidRPr="00BD65E6">
        <w:rPr>
          <w:rFonts w:ascii="Times New Roman" w:eastAsia="Times New Roman" w:hAnsi="Times New Roman" w:cs="Times New Roman"/>
          <w:sz w:val="24"/>
          <w:szCs w:val="24"/>
          <w:lang w:val="lt-LT" w:eastAsia="lt-LT"/>
        </w:rPr>
        <w:t>Tarnyba, vykdydama jos nuostatuose nustatytus uždavinius, ir toliau sieks, kad audituoti  viešojo sektoriaus subjektai įgyvendintų Tarnybos teikiamas rekomendacijas, dar efektyviau šalintų veiklos trūkumus. Tarnyba visada siekia su audituojamų įstaigų vadovais ir darbuotojais abipusio suinteresuotumo bei pasitikėjimu pagrįsto bendradarbiavimo, kad būtų užtikrintas atlikto audito ir kitų užduočių nustatytų tikslų pasiekimas bei audito rekomendacijų įgyvendinimas laiku.</w:t>
      </w:r>
    </w:p>
    <w:p w:rsidR="00BD65E6" w:rsidRPr="00BD65E6" w:rsidRDefault="00BD65E6" w:rsidP="00BD65E6">
      <w:pPr>
        <w:widowControl w:val="0"/>
        <w:spacing w:after="0"/>
        <w:ind w:firstLine="851"/>
        <w:jc w:val="both"/>
        <w:rPr>
          <w:rFonts w:ascii="Times New Roman" w:eastAsia="Times New Roman" w:hAnsi="Times New Roman" w:cs="Times New Roman"/>
          <w:sz w:val="24"/>
          <w:szCs w:val="24"/>
          <w:lang w:val="lt-LT" w:eastAsia="lt-LT"/>
        </w:rPr>
      </w:pPr>
    </w:p>
    <w:p w:rsidR="00BD65E6" w:rsidRPr="00BD65E6" w:rsidRDefault="00BD65E6" w:rsidP="00BD65E6">
      <w:pPr>
        <w:spacing w:after="0"/>
        <w:jc w:val="center"/>
        <w:rPr>
          <w:rFonts w:ascii="Times New Roman" w:eastAsia="Times New Roman" w:hAnsi="Times New Roman" w:cs="Times New Roman"/>
          <w:b/>
          <w:sz w:val="24"/>
          <w:szCs w:val="24"/>
          <w:lang w:val="lt-LT" w:eastAsia="lt-LT"/>
        </w:rPr>
      </w:pPr>
      <w:r w:rsidRPr="00BD65E6">
        <w:rPr>
          <w:rFonts w:ascii="Times New Roman" w:eastAsia="Times New Roman" w:hAnsi="Times New Roman" w:cs="Times New Roman"/>
          <w:b/>
          <w:sz w:val="24"/>
          <w:szCs w:val="24"/>
          <w:lang w:val="lt-LT" w:eastAsia="lt-LT"/>
        </w:rPr>
        <w:t>IV SKYRIUS</w:t>
      </w:r>
    </w:p>
    <w:p w:rsidR="00BD65E6" w:rsidRPr="00BD65E6" w:rsidRDefault="00BD65E6" w:rsidP="00BD65E6">
      <w:pPr>
        <w:spacing w:after="0"/>
        <w:jc w:val="center"/>
        <w:rPr>
          <w:rFonts w:ascii="Times New Roman" w:eastAsia="Times New Roman" w:hAnsi="Times New Roman" w:cs="Times New Roman"/>
          <w:b/>
          <w:sz w:val="24"/>
          <w:szCs w:val="24"/>
          <w:lang w:val="lt-LT" w:eastAsia="lt-LT"/>
        </w:rPr>
      </w:pPr>
      <w:r w:rsidRPr="00BD65E6">
        <w:rPr>
          <w:rFonts w:ascii="Times New Roman" w:eastAsia="Times New Roman" w:hAnsi="Times New Roman" w:cs="Times New Roman"/>
          <w:b/>
          <w:sz w:val="24"/>
          <w:szCs w:val="24"/>
          <w:lang w:val="lt-LT" w:eastAsia="lt-LT"/>
        </w:rPr>
        <w:t>BAIGIAMOSIOS NUOSTATOS</w:t>
      </w:r>
    </w:p>
    <w:p w:rsidR="00BD65E6" w:rsidRPr="00BD65E6" w:rsidRDefault="00BD65E6" w:rsidP="00BD65E6">
      <w:pPr>
        <w:widowControl w:val="0"/>
        <w:spacing w:after="0"/>
        <w:ind w:firstLine="851"/>
        <w:jc w:val="both"/>
        <w:rPr>
          <w:rFonts w:ascii="Times New Roman" w:eastAsia="Times New Roman" w:hAnsi="Times New Roman" w:cs="Times New Roman"/>
          <w:sz w:val="24"/>
          <w:szCs w:val="24"/>
          <w:lang w:val="lt-LT" w:eastAsia="lt-LT"/>
        </w:rPr>
      </w:pPr>
    </w:p>
    <w:p w:rsidR="00BD65E6" w:rsidRPr="00BD65E6" w:rsidRDefault="00BD65E6" w:rsidP="00BD65E6">
      <w:pPr>
        <w:widowControl w:val="0"/>
        <w:spacing w:after="0"/>
        <w:ind w:firstLine="851"/>
        <w:jc w:val="both"/>
        <w:rPr>
          <w:rFonts w:ascii="Times New Roman" w:eastAsia="Times New Roman" w:hAnsi="Times New Roman" w:cs="Times New Roman"/>
          <w:sz w:val="24"/>
          <w:szCs w:val="24"/>
          <w:lang w:val="lt-LT" w:eastAsia="lt-LT"/>
        </w:rPr>
      </w:pPr>
      <w:r w:rsidRPr="00BD65E6">
        <w:rPr>
          <w:rFonts w:ascii="Times New Roman" w:eastAsia="Times New Roman" w:hAnsi="Times New Roman" w:cs="Times New Roman"/>
          <w:sz w:val="24"/>
          <w:szCs w:val="24"/>
          <w:lang w:val="lt-LT" w:eastAsia="lt-LT"/>
        </w:rPr>
        <w:t xml:space="preserve">Įgyvendindama priskirtas funkcijas, Tarnyba ir toliau ketina dėti visas pastangas, kad auditai būtų atlikti kokybiškai, jog visos išvados būtų pagrįstos tinkamais ir pakankamais įrodymais, o auditų rezultatai ir teiktos rekomendacijos būtų reikšmingi ir padėtų užtikrinti Savivaldybės lėšų ir turto ekonomišką bei efektyvų valdymą. </w:t>
      </w:r>
    </w:p>
    <w:p w:rsidR="00BD65E6" w:rsidRPr="00BD65E6" w:rsidRDefault="00BD65E6" w:rsidP="00BD65E6">
      <w:pPr>
        <w:widowControl w:val="0"/>
        <w:spacing w:after="0"/>
        <w:ind w:firstLine="851"/>
        <w:jc w:val="both"/>
        <w:rPr>
          <w:rFonts w:ascii="Times New Roman" w:eastAsia="Times New Roman" w:hAnsi="Times New Roman" w:cs="Times New Roman"/>
          <w:sz w:val="24"/>
          <w:szCs w:val="24"/>
          <w:lang w:val="lt-LT" w:eastAsia="lt-LT"/>
        </w:rPr>
      </w:pPr>
      <w:r w:rsidRPr="00BD65E6">
        <w:rPr>
          <w:rFonts w:ascii="Times New Roman" w:eastAsia="Times New Roman" w:hAnsi="Times New Roman" w:cs="Times New Roman"/>
          <w:sz w:val="24"/>
          <w:szCs w:val="24"/>
          <w:lang w:val="lt-LT" w:eastAsia="lt-LT"/>
        </w:rPr>
        <w:t xml:space="preserve">Tarnybos atlikto darbo rezultatai (ataskaitos ir išvados) pateikti Kretingos rajono savivaldybės </w:t>
      </w:r>
      <w:r w:rsidRPr="00BD65E6">
        <w:rPr>
          <w:rFonts w:ascii="Times New Roman" w:eastAsia="Times New Roman" w:hAnsi="Times New Roman" w:cs="Times New Roman"/>
          <w:sz w:val="24"/>
          <w:szCs w:val="24"/>
          <w:lang w:val="lt-LT" w:eastAsia="lt-LT"/>
        </w:rPr>
        <w:lastRenderedPageBreak/>
        <w:t xml:space="preserve">merui, Savivaldybės tarybos Kontrolės komitetui, Savivaldybės administracijai, audituotiems subjektams. Informacija skelbiama Savivaldybės interneto puslapyje </w:t>
      </w:r>
      <w:hyperlink r:id="rId6" w:history="1">
        <w:r w:rsidRPr="00BD65E6">
          <w:rPr>
            <w:rFonts w:ascii="Times New Roman" w:eastAsia="Times New Roman" w:hAnsi="Times New Roman" w:cs="Times New Roman"/>
            <w:sz w:val="24"/>
            <w:szCs w:val="24"/>
            <w:lang w:val="lt-LT" w:eastAsia="lt-LT"/>
          </w:rPr>
          <w:t>www.kretinga.lt</w:t>
        </w:r>
      </w:hyperlink>
    </w:p>
    <w:p w:rsidR="00BD65E6" w:rsidRPr="00BD65E6" w:rsidRDefault="00BD65E6" w:rsidP="00BD65E6">
      <w:pPr>
        <w:spacing w:after="0" w:line="240" w:lineRule="auto"/>
        <w:jc w:val="center"/>
      </w:pPr>
      <w:r w:rsidRPr="00BD65E6">
        <w:rPr>
          <w:rFonts w:ascii="Times New Roman" w:eastAsia="Times New Roman" w:hAnsi="Times New Roman" w:cs="Times New Roman"/>
          <w:sz w:val="24"/>
          <w:szCs w:val="24"/>
          <w:u w:val="single"/>
          <w:lang w:val="lt-LT" w:eastAsia="ar-SA"/>
        </w:rPr>
        <w:t>_____________________</w:t>
      </w:r>
    </w:p>
    <w:p w:rsidR="00026BC7" w:rsidRDefault="00026BC7"/>
    <w:sectPr w:rsidR="00026BC7" w:rsidSect="003B55D2">
      <w:headerReference w:type="default" r:id="rId7"/>
      <w:pgSz w:w="12240" w:h="15840"/>
      <w:pgMar w:top="1134" w:right="56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65E6" w:rsidRDefault="00BD65E6" w:rsidP="00BD65E6">
      <w:pPr>
        <w:spacing w:after="0" w:line="240" w:lineRule="auto"/>
      </w:pPr>
      <w:r>
        <w:separator/>
      </w:r>
    </w:p>
  </w:endnote>
  <w:endnote w:type="continuationSeparator" w:id="0">
    <w:p w:rsidR="00BD65E6" w:rsidRDefault="00BD65E6" w:rsidP="00BD6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65E6" w:rsidRDefault="00BD65E6" w:rsidP="00BD65E6">
      <w:pPr>
        <w:spacing w:after="0" w:line="240" w:lineRule="auto"/>
      </w:pPr>
      <w:r>
        <w:separator/>
      </w:r>
    </w:p>
  </w:footnote>
  <w:footnote w:type="continuationSeparator" w:id="0">
    <w:p w:rsidR="00BD65E6" w:rsidRDefault="00BD65E6" w:rsidP="00BD65E6">
      <w:pPr>
        <w:spacing w:after="0" w:line="240" w:lineRule="auto"/>
      </w:pPr>
      <w:r>
        <w:continuationSeparator/>
      </w:r>
    </w:p>
  </w:footnote>
  <w:footnote w:id="1">
    <w:p w:rsidR="00BD65E6" w:rsidRPr="0079056D" w:rsidRDefault="00BD65E6" w:rsidP="00BD65E6">
      <w:pPr>
        <w:pStyle w:val="Puslapioinaostekstas"/>
        <w:jc w:val="both"/>
        <w:rPr>
          <w:lang w:val="lt-LT"/>
        </w:rPr>
      </w:pPr>
      <w:r w:rsidRPr="0079056D">
        <w:rPr>
          <w:rStyle w:val="Puslapioinaosnuoroda"/>
        </w:rPr>
        <w:footnoteRef/>
      </w:r>
      <w:r w:rsidRPr="0079056D">
        <w:t xml:space="preserve"> </w:t>
      </w:r>
      <w:r w:rsidRPr="0079056D">
        <w:rPr>
          <w:rFonts w:ascii="Times New Roman" w:eastAsia="Times New Roman" w:hAnsi="Times New Roman" w:cs="Times New Roman"/>
          <w:color w:val="000000"/>
          <w:lang w:val="lt-LT"/>
        </w:rPr>
        <w:t>Tarnybos nuostatai patvirtinti Kretingos rajono savivaldybės tarybos 2021 m. gegužės 27 d. sprendimu Nr. T2-183 „Dėl Kretingos rajono savivaldybės tarybos 2015 m. birželio 25 d. sprendimo Nr. T2-211 „Dėl Kretingos rajono savivaldybės kontrolės ir audito tarnybos nuostatų patvirtinimo“ pakeitimo“</w:t>
      </w:r>
      <w:r>
        <w:rPr>
          <w:rFonts w:ascii="Times New Roman" w:eastAsia="Times New Roman" w:hAnsi="Times New Roman" w:cs="Times New Roman"/>
          <w:color w:val="000000"/>
          <w:lang w:val="lt-LT"/>
        </w:rPr>
        <w:t>.</w:t>
      </w:r>
    </w:p>
  </w:footnote>
  <w:footnote w:id="2">
    <w:p w:rsidR="00BD65E6" w:rsidRPr="003B55D2" w:rsidRDefault="00BD65E6" w:rsidP="00BD65E6">
      <w:pPr>
        <w:pStyle w:val="Puslapioinaostekstas"/>
        <w:jc w:val="both"/>
        <w:rPr>
          <w:rFonts w:ascii="Times New Roman" w:hAnsi="Times New Roman" w:cs="Times New Roman"/>
          <w:lang w:val="lt-LT"/>
        </w:rPr>
      </w:pPr>
      <w:r w:rsidRPr="003B55D2">
        <w:rPr>
          <w:rStyle w:val="Puslapioinaosnuoroda"/>
          <w:rFonts w:ascii="Times New Roman" w:hAnsi="Times New Roman" w:cs="Times New Roman"/>
          <w:lang w:val="lt-LT"/>
        </w:rPr>
        <w:footnoteRef/>
      </w:r>
      <w:r w:rsidRPr="003B55D2">
        <w:rPr>
          <w:rFonts w:ascii="Times New Roman" w:hAnsi="Times New Roman" w:cs="Times New Roman"/>
          <w:lang w:val="lt-LT"/>
        </w:rPr>
        <w:t xml:space="preserve"> Kretingos Jurgio Pabrėžos universitetinė gimnazija, Kretingos rajono Salantų gimnazija, Kretingos rajono Darbėnų gimnazija, Kretingos r. Vydmantų gimnazija, Kretingos Marijono Daujoto</w:t>
      </w:r>
      <w:r w:rsidRPr="003B55D2">
        <w:rPr>
          <w:rFonts w:ascii="Times New Roman" w:hAnsi="Times New Roman" w:cs="Times New Roman"/>
          <w:color w:val="00B050"/>
          <w:lang w:val="lt-LT"/>
        </w:rPr>
        <w:t xml:space="preserve"> </w:t>
      </w:r>
      <w:r w:rsidRPr="003B55D2">
        <w:rPr>
          <w:rFonts w:ascii="Times New Roman" w:hAnsi="Times New Roman" w:cs="Times New Roman"/>
          <w:lang w:val="lt-LT"/>
        </w:rPr>
        <w:t xml:space="preserve">progimnazija, Kretingos Simono Daukanto progimnazija, Kretingos rajono Kartenos mokykla–daugiafunkcis centras, Kretingos rajono Baublių mokykla-daugiafunkcis centras, Kretingos rajono Grūšlaukės mokykla-daugiafunkcis centras, Kretingos r. Kūlupėnų Motiejaus Valančiaus </w:t>
      </w:r>
      <w:r w:rsidRPr="003B55D2">
        <w:rPr>
          <w:rFonts w:ascii="Times New Roman" w:hAnsi="Times New Roman" w:cs="Times New Roman"/>
          <w:color w:val="000000" w:themeColor="text1"/>
          <w:lang w:val="lt-LT"/>
        </w:rPr>
        <w:t xml:space="preserve">pagrindinė mokykla, </w:t>
      </w:r>
      <w:r w:rsidRPr="003B55D2">
        <w:rPr>
          <w:rFonts w:ascii="Times New Roman" w:hAnsi="Times New Roman" w:cs="Times New Roman"/>
          <w:lang w:val="lt-LT"/>
        </w:rPr>
        <w:t>Kretingos rajono Jokūbavo Aleksandro Stulginskio mokykla-daugiafunkcis centras, Kretingos Marijos Tiškevičiūtės mokykla, Kretingos rajono Kurmaičių pradinė mokykla, Kretingos mokykla-darželis „Žibutė“, Kretingos meno mokykla.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783382"/>
      <w:docPartObj>
        <w:docPartGallery w:val="Page Numbers (Top of Page)"/>
        <w:docPartUnique/>
      </w:docPartObj>
    </w:sdtPr>
    <w:sdtEndPr>
      <w:rPr>
        <w:rFonts w:ascii="Times New Roman" w:hAnsi="Times New Roman"/>
        <w:sz w:val="24"/>
        <w:szCs w:val="24"/>
      </w:rPr>
    </w:sdtEndPr>
    <w:sdtContent>
      <w:p w:rsidR="00EB249F" w:rsidRPr="00A60E42" w:rsidRDefault="003B13EE">
        <w:pPr>
          <w:pStyle w:val="Antrats"/>
          <w:jc w:val="center"/>
          <w:rPr>
            <w:rFonts w:ascii="Times New Roman" w:hAnsi="Times New Roman"/>
            <w:sz w:val="24"/>
            <w:szCs w:val="24"/>
          </w:rPr>
        </w:pPr>
        <w:r w:rsidRPr="00A60E42">
          <w:rPr>
            <w:rFonts w:ascii="Times New Roman" w:hAnsi="Times New Roman"/>
            <w:sz w:val="24"/>
            <w:szCs w:val="24"/>
          </w:rPr>
          <w:fldChar w:fldCharType="begin"/>
        </w:r>
        <w:r w:rsidRPr="00A60E42">
          <w:rPr>
            <w:rFonts w:ascii="Times New Roman" w:hAnsi="Times New Roman"/>
            <w:sz w:val="24"/>
            <w:szCs w:val="24"/>
          </w:rPr>
          <w:instrText>PAGE   \* MERGEFORMAT</w:instrText>
        </w:r>
        <w:r w:rsidRPr="00A60E42">
          <w:rPr>
            <w:rFonts w:ascii="Times New Roman" w:hAnsi="Times New Roman"/>
            <w:sz w:val="24"/>
            <w:szCs w:val="24"/>
          </w:rPr>
          <w:fldChar w:fldCharType="separate"/>
        </w:r>
        <w:r w:rsidRPr="003B13EE">
          <w:rPr>
            <w:rFonts w:ascii="Times New Roman" w:hAnsi="Times New Roman"/>
            <w:noProof/>
            <w:sz w:val="24"/>
            <w:szCs w:val="24"/>
            <w:lang w:val="lt-LT"/>
          </w:rPr>
          <w:t>5</w:t>
        </w:r>
        <w:r w:rsidRPr="00A60E42">
          <w:rPr>
            <w:rFonts w:ascii="Times New Roman" w:hAnsi="Times New Roman"/>
            <w:sz w:val="24"/>
            <w:szCs w:val="24"/>
          </w:rPr>
          <w:fldChar w:fldCharType="end"/>
        </w:r>
      </w:p>
    </w:sdtContent>
  </w:sdt>
  <w:p w:rsidR="00EB249F" w:rsidRDefault="002A0B9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E6"/>
    <w:rsid w:val="00026BC7"/>
    <w:rsid w:val="002A0B9D"/>
    <w:rsid w:val="003B13EE"/>
    <w:rsid w:val="004640CC"/>
    <w:rsid w:val="00BD6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2B30E"/>
  <w15:chartTrackingRefBased/>
  <w15:docId w15:val="{3D865549-6544-45AA-81F1-92F49B88B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D65E6"/>
    <w:pPr>
      <w:tabs>
        <w:tab w:val="center" w:pos="4819"/>
        <w:tab w:val="right" w:pos="9638"/>
      </w:tabs>
      <w:spacing w:after="0" w:line="240"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BD65E6"/>
    <w:rPr>
      <w:rFonts w:ascii="Calibri" w:eastAsia="Calibri" w:hAnsi="Calibri" w:cs="Times New Roman"/>
    </w:rPr>
  </w:style>
  <w:style w:type="paragraph" w:styleId="Puslapioinaostekstas">
    <w:name w:val="footnote text"/>
    <w:basedOn w:val="prastasis"/>
    <w:link w:val="PuslapioinaostekstasDiagrama"/>
    <w:uiPriority w:val="99"/>
    <w:semiHidden/>
    <w:unhideWhenUsed/>
    <w:rsid w:val="00BD65E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D65E6"/>
    <w:rPr>
      <w:sz w:val="20"/>
      <w:szCs w:val="20"/>
    </w:rPr>
  </w:style>
  <w:style w:type="character" w:styleId="Puslapioinaosnuoroda">
    <w:name w:val="footnote reference"/>
    <w:basedOn w:val="Numatytasispastraiposriftas"/>
    <w:uiPriority w:val="99"/>
    <w:semiHidden/>
    <w:unhideWhenUsed/>
    <w:rsid w:val="00BD65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etinga.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8298</Words>
  <Characters>4731</Characters>
  <Application>Microsoft Office Word</Application>
  <DocSecurity>0</DocSecurity>
  <Lines>39</Lines>
  <Paragraphs>26</Paragraphs>
  <ScaleCrop>false</ScaleCrop>
  <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Grigaitytė-Gedvilienė</dc:creator>
  <cp:keywords/>
  <dc:description/>
  <cp:lastModifiedBy>Reda Pilelienė</cp:lastModifiedBy>
  <cp:revision>3</cp:revision>
  <dcterms:created xsi:type="dcterms:W3CDTF">2023-03-17T13:43:00Z</dcterms:created>
  <dcterms:modified xsi:type="dcterms:W3CDTF">2023-03-27T10:37:00Z</dcterms:modified>
</cp:coreProperties>
</file>