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00" w:rsidRPr="00C8674B" w:rsidRDefault="00B92200" w:rsidP="00C8674B">
      <w:pPr>
        <w:pStyle w:val="Antrats"/>
        <w:rPr>
          <w:rFonts w:ascii="Times New Roman" w:hAnsi="Times New Roman" w:cs="Times New Roman"/>
          <w:b/>
          <w:sz w:val="24"/>
          <w:szCs w:val="24"/>
        </w:rPr>
      </w:pPr>
    </w:p>
    <w:p w:rsidR="005149EF" w:rsidRDefault="005149EF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348C861D" wp14:editId="75D3798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EF" w:rsidRDefault="005149EF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0821A6" w:rsidRDefault="000821A6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B92200" w:rsidRPr="0066674D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B92200" w:rsidRPr="006932F8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B92200" w:rsidRPr="00EC67CC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67CC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B92200" w:rsidRPr="00341E82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VIEŠOSIOS Į</w:t>
      </w:r>
      <w:r w:rsidR="00661B7A">
        <w:rPr>
          <w:rFonts w:ascii="Times New Roman" w:hAnsi="Times New Roman" w:cs="Times New Roman"/>
          <w:b/>
          <w:caps/>
          <w:sz w:val="24"/>
          <w:szCs w:val="24"/>
        </w:rPr>
        <w:t>STAIGOS KRETINGOS LIGONINĖS 2018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SIEKTINŲ VEIKLOS UŽDUOČIŲ NUSTATYMO</w:t>
      </w:r>
    </w:p>
    <w:p w:rsidR="00B92200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9EF" w:rsidRDefault="00661B7A" w:rsidP="00B92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B92200">
        <w:rPr>
          <w:rFonts w:ascii="Times New Roman" w:hAnsi="Times New Roman" w:cs="Times New Roman"/>
          <w:sz w:val="24"/>
          <w:szCs w:val="24"/>
        </w:rPr>
        <w:t xml:space="preserve"> m. kovo</w:t>
      </w:r>
      <w:r w:rsidR="008B496F">
        <w:rPr>
          <w:rFonts w:ascii="Times New Roman" w:hAnsi="Times New Roman" w:cs="Times New Roman"/>
          <w:sz w:val="24"/>
          <w:szCs w:val="24"/>
        </w:rPr>
        <w:t xml:space="preserve"> </w:t>
      </w:r>
      <w:r w:rsidR="00FA5110">
        <w:rPr>
          <w:rFonts w:ascii="Times New Roman" w:hAnsi="Times New Roman" w:cs="Times New Roman"/>
          <w:sz w:val="24"/>
          <w:szCs w:val="24"/>
        </w:rPr>
        <w:t xml:space="preserve">21 </w:t>
      </w:r>
      <w:r w:rsidR="00B92200">
        <w:rPr>
          <w:rFonts w:ascii="Times New Roman" w:hAnsi="Times New Roman" w:cs="Times New Roman"/>
          <w:sz w:val="24"/>
          <w:szCs w:val="24"/>
        </w:rPr>
        <w:t xml:space="preserve">d. </w:t>
      </w:r>
      <w:r w:rsidR="008B496F">
        <w:rPr>
          <w:rFonts w:ascii="Times New Roman" w:hAnsi="Times New Roman" w:cs="Times New Roman"/>
          <w:sz w:val="24"/>
          <w:szCs w:val="24"/>
        </w:rPr>
        <w:t xml:space="preserve"> </w:t>
      </w:r>
      <w:r w:rsidR="00B92200">
        <w:rPr>
          <w:rFonts w:ascii="Times New Roman" w:hAnsi="Times New Roman" w:cs="Times New Roman"/>
          <w:sz w:val="24"/>
          <w:szCs w:val="24"/>
        </w:rPr>
        <w:t xml:space="preserve">Nr. </w:t>
      </w:r>
      <w:r w:rsidR="00FA5110">
        <w:rPr>
          <w:rFonts w:ascii="Times New Roman" w:hAnsi="Times New Roman" w:cs="Times New Roman"/>
          <w:sz w:val="24"/>
          <w:szCs w:val="24"/>
        </w:rPr>
        <w:t>T</w:t>
      </w:r>
      <w:r w:rsidR="005149EF">
        <w:rPr>
          <w:rFonts w:ascii="Times New Roman" w:hAnsi="Times New Roman" w:cs="Times New Roman"/>
          <w:sz w:val="24"/>
          <w:szCs w:val="24"/>
        </w:rPr>
        <w:t>2</w:t>
      </w:r>
      <w:r w:rsidR="00FA5110">
        <w:rPr>
          <w:rFonts w:ascii="Times New Roman" w:hAnsi="Times New Roman" w:cs="Times New Roman"/>
          <w:sz w:val="24"/>
          <w:szCs w:val="24"/>
        </w:rPr>
        <w:t>-</w:t>
      </w:r>
      <w:r w:rsidR="005149EF">
        <w:rPr>
          <w:rFonts w:ascii="Times New Roman" w:hAnsi="Times New Roman" w:cs="Times New Roman"/>
          <w:sz w:val="24"/>
          <w:szCs w:val="24"/>
        </w:rPr>
        <w:t>98</w:t>
      </w:r>
    </w:p>
    <w:p w:rsidR="00B92200" w:rsidRDefault="00B92200" w:rsidP="00B92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B92200" w:rsidRDefault="00B92200" w:rsidP="00B922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Pr="00DF434C" w:rsidRDefault="00B92200" w:rsidP="008B496F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3 dalies 9 punktu ir Lietuvos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nacionalinės sveikatos sistemos viešųjų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</w:t>
      </w:r>
      <w:r w:rsidR="00CC41FE">
        <w:rPr>
          <w:rFonts w:ascii="Times New Roman" w:eastAsia="Times New Roman" w:hAnsi="Times New Roman" w:cs="Times New Roman"/>
          <w:sz w:val="24"/>
          <w:szCs w:val="20"/>
        </w:rPr>
        <w:t xml:space="preserve">o 2011 m. gruodžio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 xml:space="preserve">1 </w:t>
      </w:r>
      <w:r w:rsidR="00CC41FE"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 w:rsidR="00E71F84">
        <w:rPr>
          <w:rFonts w:ascii="Times New Roman" w:eastAsia="Times New Roman" w:hAnsi="Times New Roman" w:cs="Times New Roman"/>
          <w:sz w:val="24"/>
          <w:szCs w:val="20"/>
        </w:rPr>
        <w:t>įsakymu Nr. V-1019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B496F">
        <w:rPr>
          <w:rFonts w:ascii="Times New Roman" w:eastAsia="Times New Roman" w:hAnsi="Times New Roman" w:cs="Times New Roman"/>
          <w:sz w:val="24"/>
          <w:szCs w:val="20"/>
        </w:rPr>
        <w:t>„Dėl Lietuvos nacionalinės sveikatos sistemos viešųjų įstaigų veiklos finansinių rezultatų vertinimo kiekybinių ir kokybinių rodiklių ir vadovaujančių darbuotojų mėnesinės algos kintamosios dalies nustatymo tvarkos aprašo patvirtinimo“,</w:t>
      </w:r>
      <w:r w:rsidR="001A4B6B">
        <w:rPr>
          <w:rFonts w:ascii="Times New Roman" w:eastAsia="Times New Roman" w:hAnsi="Times New Roman" w:cs="Times New Roman"/>
          <w:sz w:val="24"/>
          <w:szCs w:val="20"/>
        </w:rPr>
        <w:t xml:space="preserve"> 6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punktu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bei atsižvelgdam</w:t>
      </w:r>
      <w:r w:rsidR="007223C6">
        <w:rPr>
          <w:rFonts w:ascii="Times New Roman" w:eastAsia="Times New Roman" w:hAnsi="Times New Roman" w:cs="Times New Roman"/>
          <w:sz w:val="24"/>
          <w:szCs w:val="20"/>
        </w:rPr>
        <w:t xml:space="preserve">a į </w:t>
      </w:r>
      <w:proofErr w:type="spellStart"/>
      <w:r w:rsidR="007223C6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7223C6">
        <w:rPr>
          <w:rFonts w:ascii="Times New Roman" w:eastAsia="Times New Roman" w:hAnsi="Times New Roman" w:cs="Times New Roman"/>
          <w:sz w:val="24"/>
          <w:szCs w:val="20"/>
        </w:rPr>
        <w:t xml:space="preserve"> Kretingos ligoninės </w:t>
      </w:r>
      <w:r w:rsidR="00AA72A2" w:rsidRPr="00AA72A2">
        <w:rPr>
          <w:rFonts w:ascii="Times New Roman" w:eastAsia="Times New Roman" w:hAnsi="Times New Roman" w:cs="Times New Roman"/>
          <w:sz w:val="24"/>
          <w:szCs w:val="20"/>
        </w:rPr>
        <w:t>2018 m. kovo 14</w:t>
      </w:r>
      <w:r w:rsidR="00CC41FE" w:rsidRPr="00AA72A2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="00115A3A" w:rsidRPr="00AA72A2">
        <w:rPr>
          <w:rFonts w:ascii="Times New Roman" w:eastAsia="Times New Roman" w:hAnsi="Times New Roman" w:cs="Times New Roman"/>
          <w:sz w:val="24"/>
          <w:szCs w:val="20"/>
        </w:rPr>
        <w:t xml:space="preserve"> raštą </w:t>
      </w:r>
      <w:r w:rsidR="00115A3A" w:rsidRPr="00DF434C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E71F84" w:rsidRPr="00DF43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A72A2">
        <w:rPr>
          <w:rFonts w:ascii="Times New Roman" w:eastAsia="Times New Roman" w:hAnsi="Times New Roman" w:cs="Times New Roman"/>
          <w:sz w:val="24"/>
          <w:szCs w:val="20"/>
        </w:rPr>
        <w:t>V12-9</w:t>
      </w:r>
      <w:r w:rsidRPr="00DF434C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E71F84" w:rsidRPr="00DF43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49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F434C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B92200" w:rsidRPr="00676B15" w:rsidRDefault="00B92200" w:rsidP="00B92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įstaigos Kretingos ligoninės</w:t>
      </w:r>
      <w:r w:rsidR="00661B7A">
        <w:rPr>
          <w:rFonts w:ascii="Times New Roman" w:eastAsia="Times New Roman" w:hAnsi="Times New Roman" w:cs="Times New Roman"/>
          <w:sz w:val="24"/>
          <w:szCs w:val="20"/>
        </w:rPr>
        <w:t xml:space="preserve"> 2018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935BAC" w:rsidRPr="00935BAC" w:rsidRDefault="00B92200" w:rsidP="00935BAC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 xml:space="preserve">2. </w:t>
      </w:r>
      <w:r w:rsidR="00935BAC" w:rsidRPr="00935BAC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935BAC" w:rsidRPr="00935BA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935BAC" w:rsidRPr="00935BAC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įsakymo paskelbimo arba įteikimo suinteresuotam asmeniui dienos.</w:t>
      </w:r>
    </w:p>
    <w:p w:rsidR="00B92200" w:rsidRDefault="00B92200" w:rsidP="00B922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2E0935">
        <w:rPr>
          <w:rFonts w:ascii="Times New Roman" w:hAnsi="Times New Roman" w:cs="Times New Roman"/>
          <w:sz w:val="24"/>
          <w:szCs w:val="24"/>
        </w:rPr>
        <w:tab/>
      </w:r>
      <w:r w:rsidR="002E0935">
        <w:rPr>
          <w:rFonts w:ascii="Times New Roman" w:hAnsi="Times New Roman" w:cs="Times New Roman"/>
          <w:sz w:val="24"/>
          <w:szCs w:val="24"/>
        </w:rPr>
        <w:tab/>
      </w:r>
      <w:r w:rsidR="005149EF">
        <w:rPr>
          <w:rFonts w:ascii="Times New Roman" w:hAnsi="Times New Roman" w:cs="Times New Roman"/>
          <w:sz w:val="24"/>
          <w:szCs w:val="24"/>
        </w:rPr>
        <w:t xml:space="preserve">                                               Juozas Mažeika </w:t>
      </w: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2200" w:rsidTr="00EA390A">
        <w:tc>
          <w:tcPr>
            <w:tcW w:w="4927" w:type="dxa"/>
          </w:tcPr>
          <w:p w:rsidR="00B92200" w:rsidRDefault="00B92200" w:rsidP="00E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92200" w:rsidRDefault="00B92200" w:rsidP="00EA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200" w:rsidRDefault="00B92200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6F" w:rsidRDefault="008B496F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6F" w:rsidRDefault="008B496F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6F" w:rsidRDefault="008B496F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E4C" w:rsidRDefault="00441E4C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F84" w:rsidRDefault="00E71F84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F84" w:rsidRDefault="00E71F84" w:rsidP="00B9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p w:rsidR="008B496F" w:rsidRDefault="008B496F" w:rsidP="00B9220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92200" w:rsidRPr="004652F7" w:rsidRDefault="00B92200" w:rsidP="00B9220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B92200" w:rsidRPr="004652F7" w:rsidRDefault="00B92200" w:rsidP="00B9220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A24BC3">
        <w:rPr>
          <w:rFonts w:ascii="Times New Roman" w:hAnsi="Times New Roman" w:cs="Times New Roman"/>
          <w:sz w:val="24"/>
          <w:szCs w:val="24"/>
        </w:rPr>
        <w:t>8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="00D55DC8">
        <w:rPr>
          <w:rFonts w:ascii="Times New Roman" w:hAnsi="Times New Roman" w:cs="Times New Roman"/>
          <w:sz w:val="24"/>
          <w:szCs w:val="24"/>
        </w:rPr>
        <w:t xml:space="preserve"> 29</w:t>
      </w:r>
      <w:r w:rsidR="008B4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sprendimo</w:t>
      </w:r>
      <w:r w:rsidRPr="004652F7">
        <w:rPr>
          <w:rFonts w:ascii="Times New Roman" w:hAnsi="Times New Roman" w:cs="Times New Roman"/>
          <w:sz w:val="24"/>
          <w:szCs w:val="24"/>
        </w:rPr>
        <w:t xml:space="preserve"> Nr. </w:t>
      </w:r>
      <w:r w:rsidR="00D55DC8">
        <w:rPr>
          <w:rFonts w:ascii="Times New Roman" w:hAnsi="Times New Roman" w:cs="Times New Roman"/>
          <w:sz w:val="24"/>
          <w:szCs w:val="24"/>
        </w:rPr>
        <w:t>T2</w:t>
      </w:r>
      <w:r w:rsidR="005149EF">
        <w:rPr>
          <w:rFonts w:ascii="Times New Roman" w:hAnsi="Times New Roman" w:cs="Times New Roman"/>
          <w:sz w:val="24"/>
          <w:szCs w:val="24"/>
        </w:rPr>
        <w:t>-98</w:t>
      </w:r>
    </w:p>
    <w:p w:rsidR="00B92200" w:rsidRDefault="00B92200" w:rsidP="00E71F84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0508B6" w:rsidRDefault="000508B6" w:rsidP="002E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2C5D" w:rsidRPr="002E2C5D" w:rsidRDefault="002E2C5D" w:rsidP="002E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E2C5D">
        <w:rPr>
          <w:rFonts w:ascii="Times New Roman" w:eastAsia="Calibri" w:hAnsi="Times New Roman" w:cs="Times New Roman"/>
          <w:b/>
          <w:sz w:val="24"/>
          <w:szCs w:val="24"/>
        </w:rPr>
        <w:t>VšĮ</w:t>
      </w:r>
      <w:proofErr w:type="spellEnd"/>
      <w:r w:rsidRPr="002E2C5D">
        <w:rPr>
          <w:rFonts w:ascii="Times New Roman" w:eastAsia="Calibri" w:hAnsi="Times New Roman" w:cs="Times New Roman"/>
          <w:b/>
          <w:sz w:val="24"/>
          <w:szCs w:val="24"/>
        </w:rPr>
        <w:t xml:space="preserve"> KRETINGOS RAJONO SAVIVALDYBĖS VIEŠOSIOS ĮSTAIGOS </w:t>
      </w:r>
    </w:p>
    <w:p w:rsidR="002E2C5D" w:rsidRPr="002E2C5D" w:rsidRDefault="000508B6" w:rsidP="002E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KRETINGOS LIGONINĖS 2018</w:t>
      </w:r>
      <w:r w:rsidR="002E2C5D" w:rsidRPr="002E2C5D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</w:p>
    <w:p w:rsidR="002E2C5D" w:rsidRPr="002E2C5D" w:rsidRDefault="002E2C5D" w:rsidP="002E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2C5D">
        <w:rPr>
          <w:rFonts w:ascii="Times New Roman" w:eastAsia="Calibri" w:hAnsi="Times New Roman" w:cs="Times New Roman"/>
          <w:b/>
          <w:sz w:val="24"/>
          <w:szCs w:val="24"/>
        </w:rPr>
        <w:t>SIEKTINOS VEIKLOS UŽDUOTYS</w:t>
      </w:r>
    </w:p>
    <w:p w:rsidR="002E2C5D" w:rsidRPr="002E2C5D" w:rsidRDefault="002E2C5D" w:rsidP="002E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68"/>
        <w:gridCol w:w="6616"/>
      </w:tblGrid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užduočių vertinimo rodikliai</w:t>
            </w:r>
          </w:p>
        </w:tc>
        <w:tc>
          <w:tcPr>
            <w:tcW w:w="6616" w:type="dxa"/>
            <w:vAlign w:val="center"/>
          </w:tcPr>
          <w:p w:rsidR="002E2C5D" w:rsidRPr="00DC26FD" w:rsidRDefault="002E2C5D" w:rsidP="002E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Siektinos veiklos užduotys</w:t>
            </w:r>
          </w:p>
        </w:tc>
      </w:tr>
      <w:tr w:rsidR="002E2C5D" w:rsidRPr="002E2C5D" w:rsidTr="00CE44CC">
        <w:tc>
          <w:tcPr>
            <w:tcW w:w="9854" w:type="dxa"/>
            <w:gridSpan w:val="3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Kiekybiniai veiklos vertinimo rodikliai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Finansinis įstaigos veiklos rezultatas</w:t>
            </w:r>
          </w:p>
        </w:tc>
        <w:tc>
          <w:tcPr>
            <w:tcW w:w="6616" w:type="dxa"/>
          </w:tcPr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Siektinas teigiamas Ligoninės finansinės veiklos rezultatas.</w:t>
            </w: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sąnaudų darbo užmokesčiui dalis</w:t>
            </w:r>
          </w:p>
        </w:tc>
        <w:tc>
          <w:tcPr>
            <w:tcW w:w="6616" w:type="dxa"/>
          </w:tcPr>
          <w:p w:rsid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Neviršyti</w:t>
            </w:r>
            <w:r w:rsidR="00A84DBB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78 proc. darbo užmokesčio sąnaudų</w:t>
            </w: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kartu</w:t>
            </w:r>
            <w:r w:rsidR="006F1BE5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mokesčiu SODRAI</w:t>
            </w:r>
            <w:r w:rsidR="00BB7D5B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visų sąnaudų</w:t>
            </w:r>
            <w:r w:rsidR="00A84DBB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7B2769" w:rsidRPr="00DC26FD" w:rsidRDefault="007B2769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valdymo išlaidoms dalis</w:t>
            </w:r>
          </w:p>
        </w:tc>
        <w:tc>
          <w:tcPr>
            <w:tcW w:w="6616" w:type="dxa"/>
          </w:tcPr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Siekti, kad valdymo išlaidų dalis neviršytų 10 proc. nuo įstaigos </w:t>
            </w:r>
          </w:p>
          <w:p w:rsidR="002E2C5D" w:rsidRDefault="002E2C5D" w:rsidP="002E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sąnaudų (valdymo išlaidas sudaro vyr. gydytojo, vyr. gydytojo pavaduotojo medicinai, vyr. buhalterio</w:t>
            </w:r>
            <w:r w:rsidR="003211FF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vyr. slaugytojo</w:t>
            </w: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darbo užmokesčio fondas su mokesčiu SODRAI, jų kvalifikacijai tobulinti ir komandiruotėms skirtos išlaidos).</w:t>
            </w:r>
          </w:p>
          <w:p w:rsidR="007B2769" w:rsidRPr="00DC26FD" w:rsidRDefault="007B2769" w:rsidP="002E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2C5D" w:rsidRPr="002E2C5D" w:rsidTr="00CE44CC">
        <w:tc>
          <w:tcPr>
            <w:tcW w:w="570" w:type="dxa"/>
          </w:tcPr>
          <w:p w:rsidR="002E2C5D" w:rsidRPr="002E2C5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C5D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Papildomų finansavimo šaltinių pritraukimas</w:t>
            </w:r>
          </w:p>
        </w:tc>
        <w:tc>
          <w:tcPr>
            <w:tcW w:w="6616" w:type="dxa"/>
          </w:tcPr>
          <w:p w:rsidR="002E2C5D" w:rsidRDefault="002E2C5D" w:rsidP="00BB7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 pritraukti kuo daugiau </w:t>
            </w:r>
            <w:r w:rsidR="00BB7D5B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papildomų finansavimo šaltinių ne mažiau 3 proc. nuo visų pajamų: 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ES ir kitų struktūrinių fondų, profilaktinių programų, mokamų paslau</w:t>
            </w:r>
            <w:r w:rsidR="00BB7D5B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gų, </w:t>
            </w:r>
            <w:r w:rsidR="006F1BE5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2 proc. gyventojų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pajamų </w:t>
            </w:r>
            <w:r w:rsidR="006F1BE5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mokestis, parama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B7D5B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ir kt.</w:t>
            </w:r>
          </w:p>
          <w:p w:rsidR="007B2769" w:rsidRPr="00DC26FD" w:rsidRDefault="007B2769" w:rsidP="00BB7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2C5D" w:rsidRPr="002E2C5D" w:rsidTr="00CE44CC">
        <w:tc>
          <w:tcPr>
            <w:tcW w:w="9854" w:type="dxa"/>
            <w:gridSpan w:val="3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Kokybiniai veiklos vertinimo rodikliai:</w:t>
            </w:r>
          </w:p>
        </w:tc>
      </w:tr>
      <w:tr w:rsidR="002E2C5D" w:rsidRPr="00DC26FD" w:rsidTr="00CE44CC">
        <w:tc>
          <w:tcPr>
            <w:tcW w:w="570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Pacientų pasitenkinimo įstaigos teikiamomis paslaugomis lygis bei pacientų  skundų  tendencijos</w:t>
            </w:r>
          </w:p>
        </w:tc>
        <w:tc>
          <w:tcPr>
            <w:tcW w:w="6616" w:type="dxa"/>
          </w:tcPr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Siekti, kad pacientai būtų patenkinti teikiamų sveikatos </w:t>
            </w:r>
            <w:r w:rsidR="00DC26FD">
              <w:rPr>
                <w:rFonts w:ascii="Times New Roman" w:eastAsia="Calibri" w:hAnsi="Times New Roman" w:cs="Times New Roman"/>
                <w:sz w:val="24"/>
                <w:szCs w:val="24"/>
              </w:rPr>
              <w:t>priežiūros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paslaugų kokybe ir prieinamumu:</w:t>
            </w:r>
          </w:p>
          <w:p w:rsidR="002E2C5D" w:rsidRPr="00DC26FD" w:rsidRDefault="002E2C5D" w:rsidP="002E2C5D">
            <w:pPr>
              <w:spacing w:after="0" w:line="240" w:lineRule="auto"/>
              <w:ind w:firstLine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1.1. atlikti Ambulatoriniame – konsultaciniame ir stacionaro skyriuose pacientų apklausas, kurių tikslas - įvertinti teikiamų paslaugų prieinamumą, kokybę, saugią pacientams aplinką, gydytojų, slaugytojų ir pacientų bendravimą bei bendradarbiavimą priimant sprendimus sveikatos klausimais, gydymo ir slaugos procesų kokybę, informacijos teikimą pacientams ir kt.;</w:t>
            </w:r>
          </w:p>
          <w:p w:rsidR="00BB7D5B" w:rsidRPr="00DC26FD" w:rsidRDefault="00BB7D5B" w:rsidP="002E2C5D">
            <w:pPr>
              <w:spacing w:after="0" w:line="240" w:lineRule="auto"/>
              <w:ind w:firstLine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Siekti anketose pacientų pasitenkinimo lygio ne mažiau</w:t>
            </w:r>
            <w:r w:rsidR="00DC26FD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17 balų.</w:t>
            </w:r>
          </w:p>
          <w:p w:rsidR="002E2C5D" w:rsidRPr="00DC26FD" w:rsidRDefault="002E2C5D" w:rsidP="002E2C5D">
            <w:pPr>
              <w:tabs>
                <w:tab w:val="left" w:pos="317"/>
              </w:tabs>
              <w:spacing w:after="0" w:line="240" w:lineRule="auto"/>
              <w:ind w:firstLine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1.2. išanalizavus apklausų rezultatus, numatyti priemones anketose nustatytiems trūkumams pašalinti ir pacientų pasiūlymams įgyvendinti.</w:t>
            </w:r>
          </w:p>
          <w:p w:rsidR="00BB7D5B" w:rsidRPr="00DC26FD" w:rsidRDefault="00BB7D5B" w:rsidP="00BB7D5B">
            <w:pPr>
              <w:widowControl w:val="0"/>
              <w:tabs>
                <w:tab w:val="left" w:pos="731"/>
              </w:tabs>
              <w:spacing w:after="0" w:line="245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1.3.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kasmet iki einamųjų kalendorinių metų kovo 10 d. pateikti </w:t>
            </w:r>
          </w:p>
          <w:p w:rsidR="00BB7D5B" w:rsidRPr="00DC26FD" w:rsidRDefault="00BB7D5B" w:rsidP="00BB7D5B">
            <w:pPr>
              <w:widowControl w:val="0"/>
              <w:tabs>
                <w:tab w:val="left" w:pos="731"/>
              </w:tabs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VASPVT prie SAM praėjusių kalendorinių metų įstaigos veiklos kokybės vertinimo rodiklių duomenis.</w:t>
            </w:r>
          </w:p>
          <w:p w:rsidR="002E2C5D" w:rsidRPr="00DC26FD" w:rsidRDefault="00AD642A" w:rsidP="00AD642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2E2C5D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Siekti, kad 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rašytinių </w:t>
            </w:r>
            <w:r w:rsidR="002E2C5D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pagrįstų p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acientų skundų skaičius neviršytų 0,05 proc. nuo visų įstaigos pacientų ambulatorinių apsilankymų ir stacionarinių atvejų skaičiaus</w:t>
            </w:r>
            <w:r w:rsidR="002E2C5D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E2C5D" w:rsidRPr="00DC26FD" w:rsidRDefault="00A84DBB" w:rsidP="002E2C5D">
            <w:pPr>
              <w:spacing w:after="0"/>
              <w:ind w:left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2E2C5D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gautų skun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dų skaičius ir jų pagrįstumas;</w:t>
            </w:r>
            <w:r w:rsidR="002E2C5D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2C5D" w:rsidRPr="00DC26FD" w:rsidRDefault="002E2C5D" w:rsidP="002E2C5D">
            <w:pPr>
              <w:spacing w:after="0" w:line="240" w:lineRule="auto"/>
              <w:ind w:firstLine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išnagrinėti visus pacientų </w:t>
            </w:r>
            <w:r w:rsidR="00AD642A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skundus, vertinti, ar paslaugos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visais atvejais teiktos nepažeidžiant teisės aktuose ir įstaigos 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vidaus dokumentuose nustatytų reikalavimų;</w:t>
            </w:r>
          </w:p>
          <w:p w:rsidR="002E2C5D" w:rsidRPr="00DC26FD" w:rsidRDefault="002E2C5D" w:rsidP="002E2C5D">
            <w:pPr>
              <w:spacing w:after="0"/>
              <w:ind w:firstLine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2.3. numatyti priemones nustatytiems trūkumams pašalinti </w:t>
            </w:r>
            <w:r w:rsidR="000667D9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bei paslaugų kokybei pagerinti;</w:t>
            </w:r>
          </w:p>
          <w:p w:rsidR="002E2C5D" w:rsidRPr="00DC26FD" w:rsidRDefault="002E2C5D" w:rsidP="002E2C5D">
            <w:pPr>
              <w:spacing w:after="0" w:line="240" w:lineRule="auto"/>
              <w:ind w:firstLine="30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2.4. skundus išnagrinėti laiku ir į juos atsakyti.</w:t>
            </w:r>
          </w:p>
        </w:tc>
      </w:tr>
      <w:tr w:rsidR="002E2C5D" w:rsidRPr="00DC26FD" w:rsidTr="00CE44CC">
        <w:tc>
          <w:tcPr>
            <w:tcW w:w="570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Kokybės vadybos sistemos diegimo ir vystymo laipsnis</w:t>
            </w:r>
          </w:p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616" w:type="dxa"/>
          </w:tcPr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Diegti ir tobulinti Kokybės vadybos sistemą:</w:t>
            </w:r>
          </w:p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1. Nuolat atnaujinti Kokybės s</w:t>
            </w:r>
            <w:r w:rsidR="00AD642A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istemos vadovą, organizacines, 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klinikines kokybės sistemos procedūras, tvarkų aprašus pagal Lietuvos Respublikos SAM reglamentuojančius teisės aktus, diegti naujas ar </w:t>
            </w:r>
            <w:r w:rsidR="00DF434C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atnaujinti turimas procedūras (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ne mažiau kaip 2), bei ligų di</w:t>
            </w:r>
            <w:r w:rsidR="00DF434C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agnostikos, gydymo protokolus (</w:t>
            </w:r>
            <w:r w:rsidR="00AD642A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ne mažiau kaip 2</w:t>
            </w: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2E2C5D" w:rsidRPr="00DC26FD" w:rsidRDefault="002E2C5D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2. Kartą per ketvirtį atlikti planinius vidaus medicininius auditus skyrių/padalinių veiklai ir paslaugų kokybei vertinti ir gerinti, o gavus nusiskundimų ar iškilus kitoms problemoms, atlikti neplaninius auditus.</w:t>
            </w:r>
          </w:p>
          <w:p w:rsidR="00AD642A" w:rsidRDefault="00DC26FD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870FD0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iekti</w:t>
            </w:r>
            <w:r w:rsidR="00AD642A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, kad būtų nustatyta ne daugiau nei 30 neatitikčių.</w:t>
            </w:r>
          </w:p>
          <w:p w:rsidR="00DC26FD" w:rsidRPr="00DC26FD" w:rsidRDefault="00DC26F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2C5D" w:rsidRPr="00DC26FD" w:rsidTr="00CE44CC">
        <w:tc>
          <w:tcPr>
            <w:tcW w:w="570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668" w:type="dxa"/>
          </w:tcPr>
          <w:p w:rsidR="002E2C5D" w:rsidRPr="00DC26FD" w:rsidRDefault="00AD642A" w:rsidP="002E2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Darbuotojų kaitos įstaigoje</w:t>
            </w:r>
            <w:r w:rsidR="002E2C5D"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rodiklis</w:t>
            </w:r>
          </w:p>
        </w:tc>
        <w:tc>
          <w:tcPr>
            <w:tcW w:w="6616" w:type="dxa"/>
          </w:tcPr>
          <w:p w:rsidR="00C7557C" w:rsidRPr="00DC26FD" w:rsidRDefault="002E2C5D" w:rsidP="00C7557C">
            <w:pPr>
              <w:spacing w:after="0" w:line="252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6F1BE5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iekti, kad sveikatos priežiūros</w:t>
            </w: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specialistų ir kitų darbuotojų žmogiškieji ištekli</w:t>
            </w:r>
            <w:r w:rsidR="00A84DBB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 užtikrintų teikiamų paslaugų</w:t>
            </w:r>
            <w:r w:rsidR="00C7557C"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prieinamumą ir kokybę, kad per metus</w:t>
            </w:r>
            <w:r w:rsidR="00C7557C"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naujai priimtų ir atleistų darbuotojų skaičius nuo visų įstaigoje dirbančių darbuotojų skaičiaus paskutinę metų darbo dieną būtų ne didesnis nei 20 proc. </w:t>
            </w:r>
          </w:p>
          <w:p w:rsidR="002E2C5D" w:rsidRDefault="00C7557C" w:rsidP="00C7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   Į naujai priimtų darbuotojų skaičių įtraukiami ir darbuotojai dirbantys ne pagrindinėje darbovietėje. Į naujai priimtų darbuotojų skaičių neįtraukiami rezidentai ir pagal terminuotą darbo sutartį dirbantys darbuotojai, priimti sezoniniam darbui ir tikslinių atostogų laikotarpiui.</w:t>
            </w:r>
          </w:p>
          <w:p w:rsidR="007B2769" w:rsidRPr="00DC26FD" w:rsidRDefault="007B2769" w:rsidP="00C7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2C5D" w:rsidRPr="00DC26FD" w:rsidTr="00CE44CC">
        <w:tc>
          <w:tcPr>
            <w:tcW w:w="570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Prioritetinių paslaugų teikimo dinamika</w:t>
            </w:r>
          </w:p>
        </w:tc>
        <w:tc>
          <w:tcPr>
            <w:tcW w:w="6616" w:type="dxa"/>
          </w:tcPr>
          <w:p w:rsidR="00C7557C" w:rsidRPr="00DC26FD" w:rsidRDefault="00C7557C" w:rsidP="00C7557C">
            <w:pPr>
              <w:widowControl w:val="0"/>
              <w:spacing w:after="0" w:line="24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8.1. Siekti, kad prioritetinių paslaugų (specializuotų ambulatorinių specialistų konsultacijų, dienos stacionaro, dienos chirurgijos, ambulatorinės chirurgijos, priėmimo-skubios pagalbos, stebėjimo, slaugos ir palaikomojo gydymo paslaugų)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būtų suteikta ne mažiau nei 0,8 proc. nuo praėjusiais metais suteiktų prioritetinių paslaugų skaičiaus.</w:t>
            </w:r>
          </w:p>
          <w:p w:rsidR="00C7557C" w:rsidRPr="00DC26FD" w:rsidRDefault="00C7557C" w:rsidP="00C7557C">
            <w:pPr>
              <w:widowControl w:val="0"/>
              <w:spacing w:after="0" w:line="248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Praėjusiais metais suteiktų prioritetinių paslaugų skaičius </w:t>
            </w:r>
          </w:p>
          <w:p w:rsidR="00DF434C" w:rsidRDefault="00C7557C" w:rsidP="00C75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8.2. Siekti ligoninės lovų funkcionavimo rodi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klio ne mažesnio nei 290 dienų,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aktyvaus gydymo – ne mažesnio nei 265 dienų, 300 gimdymų, 400 didžiųjų operacijų rodiklio.</w:t>
            </w:r>
          </w:p>
          <w:p w:rsidR="007B2769" w:rsidRPr="00DC26FD" w:rsidRDefault="007B2769" w:rsidP="00C7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2C5D" w:rsidRPr="00DC26FD" w:rsidTr="00CE44CC">
        <w:tc>
          <w:tcPr>
            <w:tcW w:w="570" w:type="dxa"/>
          </w:tcPr>
          <w:p w:rsidR="002E2C5D" w:rsidRPr="00DC26FD" w:rsidRDefault="002E2C5D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668" w:type="dxa"/>
          </w:tcPr>
          <w:p w:rsidR="002E2C5D" w:rsidRPr="00DC26FD" w:rsidRDefault="002E2C5D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Calibri" w:hAnsi="Times New Roman" w:cs="Times New Roman"/>
                <w:sz w:val="24"/>
                <w:szCs w:val="24"/>
              </w:rPr>
              <w:t>Informacinių technologijų diegimo ir vystymo lygis</w:t>
            </w:r>
          </w:p>
        </w:tc>
        <w:tc>
          <w:tcPr>
            <w:tcW w:w="6616" w:type="dxa"/>
          </w:tcPr>
          <w:p w:rsidR="00870FD0" w:rsidRPr="00DC26FD" w:rsidRDefault="00870FD0" w:rsidP="00870FD0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Vystyti informacinių technologijų diegimą ir naudojimąsi jomis, pagal Lietuvos </w:t>
            </w:r>
            <w:proofErr w:type="spellStart"/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E.sveikatos</w:t>
            </w:r>
            <w:proofErr w:type="spellEnd"/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sistemos 2017-2025m. plėtros programą.</w:t>
            </w:r>
          </w:p>
          <w:p w:rsidR="00DC26FD" w:rsidRDefault="00870FD0" w:rsidP="00870FD0">
            <w:pPr>
              <w:widowControl w:val="0"/>
              <w:numPr>
                <w:ilvl w:val="0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Pacientų duomenų teikimo į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ESPBI IS lygis pagal</w:t>
            </w:r>
          </w:p>
          <w:p w:rsidR="00870FD0" w:rsidRPr="00DC26FD" w:rsidRDefault="00DC26FD" w:rsidP="00DC26FD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programą:</w:t>
            </w:r>
          </w:p>
          <w:p w:rsidR="00870FD0" w:rsidRP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duomenų teikimas į ESPBI IS;</w:t>
            </w:r>
          </w:p>
          <w:p w:rsidR="00DC26FD" w:rsidRDefault="00DC26FD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pacientų atvykimo (</w:t>
            </w:r>
            <w:proofErr w:type="spellStart"/>
            <w:r w:rsidR="00870FD0"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Encounter</w:t>
            </w:r>
            <w:proofErr w:type="spellEnd"/>
            <w:r w:rsidR="00870FD0"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) į įstaigą</w:t>
            </w:r>
          </w:p>
          <w:p w:rsidR="00870FD0" w:rsidRPr="00DC26FD" w:rsidRDefault="00870FD0" w:rsidP="00870FD0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registracijos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duomenų teikimas į ESPBI IS;</w:t>
            </w:r>
          </w:p>
          <w:p w:rsid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kompensuojamų vaistų, naudojant e.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recepto</w:t>
            </w:r>
          </w:p>
          <w:p w:rsidR="00870FD0" w:rsidRPr="00DC26FD" w:rsidRDefault="00870FD0" w:rsidP="00870FD0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paslaugą,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išrašymas;</w:t>
            </w:r>
          </w:p>
          <w:p w:rsid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per ESPBI IS keitimasis duomenimis statistinių ir</w:t>
            </w:r>
          </w:p>
          <w:p w:rsidR="00870FD0" w:rsidRPr="00DC26FD" w:rsidRDefault="00870FD0" w:rsidP="00870FD0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klinikinių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duomenų rinkinių apraše nustatyta apimtimi;</w:t>
            </w:r>
          </w:p>
          <w:p w:rsid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yra galimybė paslaugoms gauti įstaigoje</w:t>
            </w:r>
          </w:p>
          <w:p w:rsidR="00870FD0" w:rsidRPr="00DC26FD" w:rsidRDefault="00870FD0" w:rsidP="00870FD0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registruotis per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Išankstinės pacientų registracijos sistemą arba naudojamasi telemedicinos sprendimais.</w:t>
            </w:r>
          </w:p>
          <w:p w:rsidR="00870FD0" w:rsidRPr="00DC26FD" w:rsidRDefault="00870FD0" w:rsidP="00870FD0">
            <w:pPr>
              <w:widowControl w:val="0"/>
              <w:numPr>
                <w:ilvl w:val="0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IT panaudojimas valdant įstaigą:</w:t>
            </w:r>
          </w:p>
          <w:p w:rsid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įdiegta vaistų ir kitų medicinos priemonių</w:t>
            </w:r>
          </w:p>
          <w:p w:rsidR="00870FD0" w:rsidRPr="00DC26FD" w:rsidRDefault="00870FD0" w:rsidP="00870FD0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lastRenderedPageBreak/>
              <w:t>panaudojimo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apskaitos sistema susieta su pacientu;</w:t>
            </w:r>
          </w:p>
          <w:p w:rsidR="00870FD0" w:rsidRP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įdiegta el. dokumentų valdymo sistema;</w:t>
            </w:r>
          </w:p>
          <w:p w:rsidR="00870FD0" w:rsidRP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reguliariai atnaujinama įstaigos interneto svetainė;</w:t>
            </w:r>
          </w:p>
          <w:p w:rsid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per praėjusius metus įdiegta nauja ar modernizuota</w:t>
            </w:r>
          </w:p>
          <w:p w:rsidR="00870FD0" w:rsidRPr="00DC26FD" w:rsidRDefault="00870FD0" w:rsidP="00870FD0">
            <w:pPr>
              <w:widowControl w:val="0"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esama</w:t>
            </w:r>
            <w:r w:rsid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sistema.</w:t>
            </w:r>
          </w:p>
          <w:p w:rsidR="00870FD0" w:rsidRPr="00DC26FD" w:rsidRDefault="00870FD0" w:rsidP="00870FD0">
            <w:pPr>
              <w:widowControl w:val="0"/>
              <w:numPr>
                <w:ilvl w:val="0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Papildomi rodikliai:</w:t>
            </w:r>
          </w:p>
          <w:p w:rsidR="00870FD0" w:rsidRPr="00DC26FD" w:rsidRDefault="00870FD0" w:rsidP="00870FD0">
            <w:pPr>
              <w:widowControl w:val="0"/>
              <w:numPr>
                <w:ilvl w:val="1"/>
                <w:numId w:val="4"/>
              </w:numPr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įstaigoje kompiuterizuotos visos darbo vietos;</w:t>
            </w:r>
          </w:p>
          <w:p w:rsidR="002E2C5D" w:rsidRDefault="00870FD0" w:rsidP="00870FD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įstaigoje reglamentuotas IS naudojimas, duomenų sauga ar atliekami kiti privalomi IS valdymo ir tvarkytojo veiksmai.</w:t>
            </w:r>
          </w:p>
          <w:p w:rsidR="007B2769" w:rsidRPr="00DC26FD" w:rsidRDefault="007B2769" w:rsidP="0087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1BE5" w:rsidRPr="00DC26FD" w:rsidTr="00CE44CC">
        <w:tc>
          <w:tcPr>
            <w:tcW w:w="570" w:type="dxa"/>
          </w:tcPr>
          <w:p w:rsidR="006F1BE5" w:rsidRPr="00DC26FD" w:rsidRDefault="006F1BE5" w:rsidP="002E2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668" w:type="dxa"/>
          </w:tcPr>
          <w:p w:rsidR="006F1BE5" w:rsidRPr="00DC26FD" w:rsidRDefault="006F1BE5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>Įstaigoje taikomų kovos su korupcija priemonių vykdymas</w:t>
            </w:r>
          </w:p>
        </w:tc>
        <w:tc>
          <w:tcPr>
            <w:tcW w:w="6616" w:type="dxa"/>
          </w:tcPr>
          <w:p w:rsidR="006F1BE5" w:rsidRDefault="00870FD0" w:rsidP="002E2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>Vykdyti kovos su korupcija priemones, numatytas Sveikatos priežiūros srities korupcijos prevencijos programoje ir įstaigos</w:t>
            </w:r>
            <w:r w:rsidR="006F1BE5"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7D9"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197277"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2019 </w:t>
            </w:r>
            <w:r w:rsidR="00197277"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r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>korupcijos prevencijos ir kontrolės programos 2018 m. priemones</w:t>
            </w:r>
            <w:r w:rsidR="006F1BE5" w:rsidRPr="00DC2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2769" w:rsidRPr="00DC26FD" w:rsidRDefault="007B2769" w:rsidP="002E2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0FD0" w:rsidRDefault="002E2C5D" w:rsidP="00082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26F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  <w:bookmarkStart w:id="0" w:name="_GoBack"/>
      <w:bookmarkEnd w:id="0"/>
    </w:p>
    <w:sectPr w:rsidR="00870FD0" w:rsidSect="00726B0C">
      <w:headerReference w:type="default" r:id="rId9"/>
      <w:headerReference w:type="first" r:id="rId10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FD" w:rsidRDefault="006653FD">
      <w:pPr>
        <w:spacing w:after="0" w:line="240" w:lineRule="auto"/>
      </w:pPr>
      <w:r>
        <w:separator/>
      </w:r>
    </w:p>
  </w:endnote>
  <w:endnote w:type="continuationSeparator" w:id="0">
    <w:p w:rsidR="006653FD" w:rsidRDefault="0066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FD" w:rsidRDefault="006653FD">
      <w:pPr>
        <w:spacing w:after="0" w:line="240" w:lineRule="auto"/>
      </w:pPr>
      <w:r>
        <w:separator/>
      </w:r>
    </w:p>
  </w:footnote>
  <w:footnote w:type="continuationSeparator" w:id="0">
    <w:p w:rsidR="006653FD" w:rsidRDefault="0066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6B" w:rsidRDefault="001A4B6B">
    <w:pPr>
      <w:pStyle w:val="Antrats"/>
    </w:pPr>
  </w:p>
  <w:p w:rsidR="001A4B6B" w:rsidRPr="001A4B6B" w:rsidRDefault="001A4B6B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Pr="00A26F83" w:rsidRDefault="006653FD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D32"/>
    <w:multiLevelType w:val="hybridMultilevel"/>
    <w:tmpl w:val="C726B1AC"/>
    <w:lvl w:ilvl="0" w:tplc="3134FF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222BA"/>
    <w:multiLevelType w:val="multilevel"/>
    <w:tmpl w:val="FE303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50494"/>
    <w:multiLevelType w:val="multilevel"/>
    <w:tmpl w:val="ABAA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9570DD3"/>
    <w:multiLevelType w:val="multilevel"/>
    <w:tmpl w:val="F5A2E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DE"/>
    <w:rsid w:val="000508B6"/>
    <w:rsid w:val="000667D9"/>
    <w:rsid w:val="000821A6"/>
    <w:rsid w:val="000E659D"/>
    <w:rsid w:val="00115A3A"/>
    <w:rsid w:val="00120FF3"/>
    <w:rsid w:val="001524EB"/>
    <w:rsid w:val="00161DCB"/>
    <w:rsid w:val="00197277"/>
    <w:rsid w:val="001A4B6B"/>
    <w:rsid w:val="001D0876"/>
    <w:rsid w:val="001E7DDE"/>
    <w:rsid w:val="0021053A"/>
    <w:rsid w:val="00222935"/>
    <w:rsid w:val="00253805"/>
    <w:rsid w:val="00297CF2"/>
    <w:rsid w:val="002B1AEB"/>
    <w:rsid w:val="002C3621"/>
    <w:rsid w:val="002E0935"/>
    <w:rsid w:val="002E2C5D"/>
    <w:rsid w:val="002F51ED"/>
    <w:rsid w:val="00311B9E"/>
    <w:rsid w:val="003211FF"/>
    <w:rsid w:val="00331186"/>
    <w:rsid w:val="00354A52"/>
    <w:rsid w:val="003A03C7"/>
    <w:rsid w:val="003C6093"/>
    <w:rsid w:val="00405935"/>
    <w:rsid w:val="00416AB0"/>
    <w:rsid w:val="004215BE"/>
    <w:rsid w:val="00424FFC"/>
    <w:rsid w:val="004343ED"/>
    <w:rsid w:val="00441E4C"/>
    <w:rsid w:val="00477D34"/>
    <w:rsid w:val="005149EF"/>
    <w:rsid w:val="00536F89"/>
    <w:rsid w:val="00561BA4"/>
    <w:rsid w:val="005F391D"/>
    <w:rsid w:val="0065732E"/>
    <w:rsid w:val="00661B7A"/>
    <w:rsid w:val="00662709"/>
    <w:rsid w:val="006653FD"/>
    <w:rsid w:val="006F1BE5"/>
    <w:rsid w:val="00705F47"/>
    <w:rsid w:val="007223C6"/>
    <w:rsid w:val="00726B0C"/>
    <w:rsid w:val="00740BD4"/>
    <w:rsid w:val="00746DC4"/>
    <w:rsid w:val="007B2769"/>
    <w:rsid w:val="007E7948"/>
    <w:rsid w:val="008011D2"/>
    <w:rsid w:val="008268B2"/>
    <w:rsid w:val="00855BC1"/>
    <w:rsid w:val="00870FD0"/>
    <w:rsid w:val="008A1858"/>
    <w:rsid w:val="008B496F"/>
    <w:rsid w:val="0090745B"/>
    <w:rsid w:val="00935BAC"/>
    <w:rsid w:val="00946933"/>
    <w:rsid w:val="009C5967"/>
    <w:rsid w:val="009E2586"/>
    <w:rsid w:val="009E34B5"/>
    <w:rsid w:val="00A175E6"/>
    <w:rsid w:val="00A24BC3"/>
    <w:rsid w:val="00A54D6F"/>
    <w:rsid w:val="00A84DBB"/>
    <w:rsid w:val="00AA72A2"/>
    <w:rsid w:val="00AD642A"/>
    <w:rsid w:val="00AE6D13"/>
    <w:rsid w:val="00AF1C67"/>
    <w:rsid w:val="00B92200"/>
    <w:rsid w:val="00B95FC0"/>
    <w:rsid w:val="00BA71E2"/>
    <w:rsid w:val="00BB7D5B"/>
    <w:rsid w:val="00BF7D0E"/>
    <w:rsid w:val="00C04640"/>
    <w:rsid w:val="00C04B05"/>
    <w:rsid w:val="00C7557C"/>
    <w:rsid w:val="00C8674B"/>
    <w:rsid w:val="00C87EF9"/>
    <w:rsid w:val="00CA38B9"/>
    <w:rsid w:val="00CC41FE"/>
    <w:rsid w:val="00CF50DF"/>
    <w:rsid w:val="00CF7B91"/>
    <w:rsid w:val="00D3726A"/>
    <w:rsid w:val="00D53624"/>
    <w:rsid w:val="00D55DC8"/>
    <w:rsid w:val="00DC26FD"/>
    <w:rsid w:val="00DF434C"/>
    <w:rsid w:val="00E05231"/>
    <w:rsid w:val="00E23144"/>
    <w:rsid w:val="00E448E0"/>
    <w:rsid w:val="00E71F84"/>
    <w:rsid w:val="00E93126"/>
    <w:rsid w:val="00EC67CC"/>
    <w:rsid w:val="00EF46C3"/>
    <w:rsid w:val="00F3410D"/>
    <w:rsid w:val="00F46CC2"/>
    <w:rsid w:val="00F52131"/>
    <w:rsid w:val="00F54482"/>
    <w:rsid w:val="00F82212"/>
    <w:rsid w:val="00F93FDE"/>
    <w:rsid w:val="00FA2D4C"/>
    <w:rsid w:val="00FA5110"/>
    <w:rsid w:val="00FA530C"/>
    <w:rsid w:val="00F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22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2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200"/>
  </w:style>
  <w:style w:type="table" w:styleId="Lentelstinklelis">
    <w:name w:val="Table Grid"/>
    <w:basedOn w:val="prastojilentel"/>
    <w:uiPriority w:val="59"/>
    <w:rsid w:val="00B9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20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B4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4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22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2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200"/>
  </w:style>
  <w:style w:type="table" w:styleId="Lentelstinklelis">
    <w:name w:val="Table Grid"/>
    <w:basedOn w:val="prastojilentel"/>
    <w:uiPriority w:val="59"/>
    <w:rsid w:val="00B9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20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B4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4896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2018-03-21T07:35:00Z</cp:lastPrinted>
  <dcterms:created xsi:type="dcterms:W3CDTF">2018-03-21T07:35:00Z</dcterms:created>
  <dcterms:modified xsi:type="dcterms:W3CDTF">2018-04-03T10:39:00Z</dcterms:modified>
</cp:coreProperties>
</file>