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231"/>
        <w:tblW w:w="9747" w:type="dxa"/>
        <w:tblLayout w:type="fixed"/>
        <w:tblLook w:val="0000" w:firstRow="0" w:lastRow="0" w:firstColumn="0" w:lastColumn="0" w:noHBand="0" w:noVBand="0"/>
      </w:tblPr>
      <w:tblGrid>
        <w:gridCol w:w="9747"/>
      </w:tblGrid>
      <w:tr w:rsidR="009617BF" w:rsidTr="009D45EB">
        <w:trPr>
          <w:trHeight w:val="3544"/>
          <w:tblHeader/>
        </w:trPr>
        <w:tc>
          <w:tcPr>
            <w:tcW w:w="9747" w:type="dxa"/>
          </w:tcPr>
          <w:tbl>
            <w:tblPr>
              <w:tblW w:w="9747" w:type="dxa"/>
              <w:tblLayout w:type="fixed"/>
              <w:tblLook w:val="0000" w:firstRow="0" w:lastRow="0" w:firstColumn="0" w:lastColumn="0" w:noHBand="0" w:noVBand="0"/>
            </w:tblPr>
            <w:tblGrid>
              <w:gridCol w:w="9747"/>
            </w:tblGrid>
            <w:tr w:rsidR="00815C1E" w:rsidTr="008A497D">
              <w:trPr>
                <w:trHeight w:val="851"/>
                <w:tblHeader/>
              </w:trPr>
              <w:tc>
                <w:tcPr>
                  <w:tcW w:w="9747" w:type="dxa"/>
                </w:tcPr>
                <w:p w:rsidR="00815C1E" w:rsidRDefault="00815C1E" w:rsidP="00815C1E">
                  <w:pPr>
                    <w:framePr w:hSpace="180" w:wrap="around" w:vAnchor="page" w:hAnchor="margin" w:y="1231"/>
                    <w:jc w:val="center"/>
                    <w:rPr>
                      <w:b/>
                      <w:caps/>
                      <w:sz w:val="28"/>
                    </w:rPr>
                  </w:pPr>
                  <w:r>
                    <w:rPr>
                      <w:noProof/>
                    </w:rPr>
                    <w:drawing>
                      <wp:inline distT="0" distB="0" distL="0" distR="0" wp14:anchorId="27177533" wp14:editId="49F7E883">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15C1E" w:rsidRDefault="00815C1E" w:rsidP="00815C1E">
                  <w:pPr>
                    <w:framePr w:hSpace="180" w:wrap="around" w:vAnchor="page" w:hAnchor="margin" w:y="1231"/>
                    <w:jc w:val="center"/>
                    <w:rPr>
                      <w:b/>
                      <w:caps/>
                      <w:sz w:val="28"/>
                    </w:rPr>
                  </w:pPr>
                </w:p>
                <w:p w:rsidR="00815C1E" w:rsidRDefault="00815C1E" w:rsidP="00815C1E">
                  <w:pPr>
                    <w:framePr w:hSpace="180" w:wrap="around" w:vAnchor="page" w:hAnchor="margin" w:y="1231"/>
                    <w:jc w:val="center"/>
                    <w:rPr>
                      <w:b/>
                      <w:caps/>
                      <w:sz w:val="28"/>
                    </w:rPr>
                  </w:pPr>
                  <w:r>
                    <w:rPr>
                      <w:b/>
                      <w:caps/>
                      <w:sz w:val="28"/>
                    </w:rPr>
                    <w:t xml:space="preserve"> KRETINGOS RAJONO SAVIVALDYBĖS taryba</w:t>
                  </w:r>
                </w:p>
                <w:p w:rsidR="00815C1E" w:rsidRDefault="00815C1E" w:rsidP="00815C1E">
                  <w:pPr>
                    <w:framePr w:hSpace="180" w:wrap="around" w:vAnchor="page" w:hAnchor="margin" w:y="1231"/>
                    <w:jc w:val="center"/>
                    <w:rPr>
                      <w:b/>
                      <w:sz w:val="28"/>
                    </w:rPr>
                  </w:pPr>
                </w:p>
              </w:tc>
            </w:tr>
            <w:tr w:rsidR="00815C1E" w:rsidTr="008A497D">
              <w:tc>
                <w:tcPr>
                  <w:tcW w:w="9747" w:type="dxa"/>
                </w:tcPr>
                <w:p w:rsidR="00815C1E" w:rsidRPr="00C1102E" w:rsidRDefault="00815C1E" w:rsidP="00815C1E">
                  <w:pPr>
                    <w:pStyle w:val="Antrat1"/>
                    <w:framePr w:hSpace="180" w:wrap="around" w:vAnchor="page" w:hAnchor="margin" w:y="1231"/>
                    <w:rPr>
                      <w:sz w:val="26"/>
                      <w:szCs w:val="26"/>
                    </w:rPr>
                  </w:pPr>
                  <w:r w:rsidRPr="00C1102E">
                    <w:rPr>
                      <w:sz w:val="26"/>
                      <w:szCs w:val="26"/>
                    </w:rPr>
                    <w:t>SPRENDIMAS</w:t>
                  </w:r>
                </w:p>
              </w:tc>
            </w:tr>
            <w:tr w:rsidR="00815C1E" w:rsidRPr="00C71D0E" w:rsidTr="008A497D">
              <w:tc>
                <w:tcPr>
                  <w:tcW w:w="9747" w:type="dxa"/>
                </w:tcPr>
                <w:p w:rsidR="00815C1E" w:rsidRPr="00C71D0E" w:rsidRDefault="00815C1E" w:rsidP="00815C1E">
                  <w:pPr>
                    <w:framePr w:hSpace="180" w:wrap="around" w:vAnchor="page" w:hAnchor="margin" w:y="1231"/>
                    <w:jc w:val="center"/>
                    <w:rPr>
                      <w:b/>
                      <w:caps/>
                    </w:rPr>
                  </w:pPr>
                  <w:r>
                    <w:rPr>
                      <w:b/>
                      <w:caps/>
                    </w:rPr>
                    <w:t xml:space="preserve">DĖL ATLEIDIMO NUO ŽEMĖS MOKESČIO </w:t>
                  </w:r>
                </w:p>
              </w:tc>
            </w:tr>
            <w:tr w:rsidR="00815C1E" w:rsidTr="008A497D">
              <w:tc>
                <w:tcPr>
                  <w:tcW w:w="9747" w:type="dxa"/>
                </w:tcPr>
                <w:p w:rsidR="00815C1E" w:rsidRDefault="00815C1E" w:rsidP="00815C1E">
                  <w:pPr>
                    <w:framePr w:hSpace="180" w:wrap="around" w:vAnchor="page" w:hAnchor="margin" w:y="1231"/>
                    <w:jc w:val="center"/>
                  </w:pPr>
                </w:p>
                <w:p w:rsidR="00815C1E" w:rsidRDefault="00815C1E" w:rsidP="00815C1E">
                  <w:pPr>
                    <w:framePr w:hSpace="180" w:wrap="around" w:vAnchor="page" w:hAnchor="margin" w:y="1231"/>
                    <w:jc w:val="center"/>
                  </w:pPr>
                  <w:r>
                    <w:t>2017 m. gruodžio 21 d.  Nr. T2-330</w:t>
                  </w:r>
                </w:p>
                <w:p w:rsidR="00815C1E" w:rsidRDefault="00815C1E" w:rsidP="00815C1E">
                  <w:pPr>
                    <w:framePr w:hSpace="180" w:wrap="around" w:vAnchor="page" w:hAnchor="margin" w:y="1231"/>
                    <w:jc w:val="center"/>
                  </w:pPr>
                  <w:r>
                    <w:t>Kretinga</w:t>
                  </w:r>
                </w:p>
                <w:p w:rsidR="00815C1E" w:rsidRDefault="00815C1E" w:rsidP="00815C1E">
                  <w:pPr>
                    <w:framePr w:hSpace="180" w:wrap="around" w:vAnchor="page" w:hAnchor="margin" w:y="1231"/>
                    <w:jc w:val="center"/>
                  </w:pPr>
                </w:p>
              </w:tc>
            </w:tr>
          </w:tbl>
          <w:p w:rsidR="009D45EB" w:rsidRPr="00815C1E" w:rsidRDefault="00815C1E" w:rsidP="00815C1E">
            <w:pPr>
              <w:ind w:firstLine="1296"/>
              <w:jc w:val="both"/>
              <w:rPr>
                <w:b/>
                <w:sz w:val="28"/>
              </w:rPr>
            </w:pPr>
            <w:r>
              <w:t xml:space="preserve">Vadovaudamasi Lietuvos Respublikos vietos savivaldos </w:t>
            </w:r>
            <w:r w:rsidRPr="00111A79">
              <w:rPr>
                <w:rFonts w:cs="Tahoma"/>
              </w:rPr>
              <w:t xml:space="preserve">įstatymo </w:t>
            </w:r>
            <w:r>
              <w:t>16 straipsnio 2 dalies 18 punktu</w:t>
            </w:r>
            <w:r w:rsidRPr="00DC7623">
              <w:t xml:space="preserve">, </w:t>
            </w:r>
            <w:r w:rsidRPr="007B6400">
              <w:t xml:space="preserve">Lietuvos Respublikos </w:t>
            </w:r>
            <w:r>
              <w:t xml:space="preserve">žemės mokesčio įstatymo 8 straipsnio 3 dalimi bei atsižvelgdama į seniūnų rekomendacijas bei buities tyrimo aktus dėl lengvatų suteikimo, asmenų prašymus, </w:t>
            </w:r>
            <w:r w:rsidRPr="00DC7623">
              <w:t>Kretingos</w:t>
            </w:r>
            <w:r>
              <w:t xml:space="preserve"> </w:t>
            </w:r>
            <w:r w:rsidRPr="00DC7623">
              <w:t>rajono</w:t>
            </w:r>
            <w:r>
              <w:t xml:space="preserve"> </w:t>
            </w:r>
            <w:r w:rsidRPr="00DC7623">
              <w:t>savivaldybės</w:t>
            </w:r>
            <w:r>
              <w:t xml:space="preserve"> taryba  n </w:t>
            </w:r>
            <w:r w:rsidRPr="00DC7623">
              <w:t>u</w:t>
            </w:r>
            <w:r>
              <w:t> </w:t>
            </w:r>
            <w:r w:rsidRPr="00DC7623">
              <w:t>s</w:t>
            </w:r>
            <w:r>
              <w:t> </w:t>
            </w:r>
            <w:r w:rsidRPr="00DC7623">
              <w:t>p</w:t>
            </w:r>
            <w:r>
              <w:t> </w:t>
            </w:r>
            <w:r w:rsidRPr="00DC7623">
              <w:t>r</w:t>
            </w:r>
            <w:r>
              <w:t> </w:t>
            </w:r>
            <w:r w:rsidRPr="00DC7623">
              <w:t>e</w:t>
            </w:r>
            <w:r>
              <w:t> </w:t>
            </w:r>
            <w:r w:rsidRPr="00DC7623">
              <w:t>n</w:t>
            </w:r>
            <w:r>
              <w:t> </w:t>
            </w:r>
            <w:r w:rsidRPr="00DC7623">
              <w:t>d</w:t>
            </w:r>
            <w:r>
              <w:t> </w:t>
            </w:r>
            <w:r w:rsidRPr="00DC7623">
              <w:t>ž</w:t>
            </w:r>
            <w:r>
              <w:t> </w:t>
            </w:r>
            <w:r w:rsidRPr="00DC7623">
              <w:t>i</w:t>
            </w:r>
            <w:r>
              <w:t> </w:t>
            </w:r>
            <w:r w:rsidRPr="00DC7623">
              <w:t>a</w:t>
            </w:r>
            <w:r>
              <w:t>:</w:t>
            </w:r>
          </w:p>
        </w:tc>
      </w:tr>
    </w:tbl>
    <w:p w:rsidR="002603E6" w:rsidRDefault="002603E6" w:rsidP="002603E6">
      <w:pPr>
        <w:ind w:firstLine="1296"/>
        <w:jc w:val="both"/>
      </w:pPr>
      <w:r>
        <w:t xml:space="preserve">1. </w:t>
      </w:r>
      <w:r w:rsidR="001675B0">
        <w:t>Atleisti gyventojus nuo žemės mokesčio</w:t>
      </w:r>
      <w:r w:rsidR="000A05C1">
        <w:t>, apmokestinto padidintu žemės mokesčio tarifu,</w:t>
      </w:r>
      <w:r w:rsidR="001675B0">
        <w:t xml:space="preserve"> už 2017 metus pagal sąrašą (</w:t>
      </w:r>
      <w:r w:rsidR="00A67427">
        <w:t>pridedama</w:t>
      </w:r>
      <w:r w:rsidR="001675B0">
        <w:t>).</w:t>
      </w:r>
    </w:p>
    <w:p w:rsidR="002603E6" w:rsidRDefault="002603E6" w:rsidP="002603E6">
      <w:pPr>
        <w:ind w:firstLine="1296"/>
        <w:jc w:val="both"/>
      </w:pPr>
      <w:r>
        <w:t xml:space="preserve">2. </w:t>
      </w:r>
      <w:r w:rsidR="00C46BCD">
        <w:t>Neatleisti I</w:t>
      </w:r>
      <w:r w:rsidR="005B61B3">
        <w:t>.</w:t>
      </w:r>
      <w:r w:rsidR="00C46BCD">
        <w:t xml:space="preserve"> K</w:t>
      </w:r>
      <w:r w:rsidR="005B61B3">
        <w:t>.</w:t>
      </w:r>
      <w:r w:rsidR="00C46BCD">
        <w:t xml:space="preserve">, gim. </w:t>
      </w:r>
      <w:r w:rsidR="005B61B3">
        <w:t>(</w:t>
      </w:r>
      <w:r w:rsidR="005B61B3">
        <w:rPr>
          <w:i/>
        </w:rPr>
        <w:t>duomenys neskelbtini</w:t>
      </w:r>
      <w:r w:rsidR="005B61B3">
        <w:t>)</w:t>
      </w:r>
      <w:r w:rsidR="00C46BCD">
        <w:t xml:space="preserve">, gyv. </w:t>
      </w:r>
      <w:r w:rsidR="005B61B3">
        <w:t>(</w:t>
      </w:r>
      <w:r w:rsidR="005B61B3">
        <w:rPr>
          <w:i/>
        </w:rPr>
        <w:t>duomenys neskelbtini</w:t>
      </w:r>
      <w:r w:rsidR="005B61B3">
        <w:t>)</w:t>
      </w:r>
      <w:r w:rsidR="00C46BCD">
        <w:t>, nuo 620,37 Eur žemės mokesčio</w:t>
      </w:r>
      <w:r w:rsidR="000A05C1">
        <w:t xml:space="preserve">, už žemės sklypą, kuris yra </w:t>
      </w:r>
      <w:r w:rsidR="005B61B3">
        <w:t>(</w:t>
      </w:r>
      <w:r w:rsidR="005B61B3">
        <w:rPr>
          <w:i/>
        </w:rPr>
        <w:t>duomenys neskelbtini</w:t>
      </w:r>
      <w:r w:rsidR="005B61B3">
        <w:t>)</w:t>
      </w:r>
      <w:r w:rsidR="000A05C1">
        <w:t>,</w:t>
      </w:r>
      <w:r w:rsidR="00C46BCD">
        <w:t xml:space="preserve"> už 2017 m.,</w:t>
      </w:r>
      <w:r w:rsidR="000A05C1">
        <w:t xml:space="preserve"> nes pareiškėjos žemės sklypas yra apleistas ir netvarkomas pagal nustatytus reikalavimus.</w:t>
      </w:r>
    </w:p>
    <w:p w:rsidR="00B86192" w:rsidRPr="00900E4D" w:rsidRDefault="00B86192" w:rsidP="00B86192">
      <w:pPr>
        <w:ind w:firstLine="1296"/>
        <w:jc w:val="both"/>
      </w:pPr>
      <w:r>
        <w:t>3. Atleisti E. R. B., gim. (</w:t>
      </w:r>
      <w:r>
        <w:rPr>
          <w:i/>
        </w:rPr>
        <w:t>duomenys neskelbtini</w:t>
      </w:r>
      <w:r>
        <w:t>), gyv. (</w:t>
      </w:r>
      <w:r>
        <w:rPr>
          <w:i/>
        </w:rPr>
        <w:t>duomenys neskelbtini</w:t>
      </w:r>
      <w:r>
        <w:t>), nuo 13 Eur (t. y. 50 proc.) žemės mokesčio už 0,4139 ha žemės sklypą, esantį adresu (</w:t>
      </w:r>
      <w:r>
        <w:rPr>
          <w:i/>
        </w:rPr>
        <w:t>duomenys neskelbtini</w:t>
      </w:r>
      <w:r>
        <w:t xml:space="preserve">), už 2017 m., nes negali pasamdyti žmogaus sutvarkyti žemės sklypo </w:t>
      </w:r>
      <w:r w:rsidRPr="00900E4D">
        <w:t xml:space="preserve">dėl prastos materialinės </w:t>
      </w:r>
      <w:r>
        <w:t>būklės</w:t>
      </w:r>
      <w:r w:rsidRPr="00900E4D">
        <w:t xml:space="preserve"> (ji gauna </w:t>
      </w:r>
      <w:r>
        <w:t>(</w:t>
      </w:r>
      <w:r>
        <w:rPr>
          <w:i/>
        </w:rPr>
        <w:t>duomenys neskelbtini</w:t>
      </w:r>
      <w:r>
        <w:t>)</w:t>
      </w:r>
      <w:r w:rsidR="00B429AA">
        <w:t xml:space="preserve"> </w:t>
      </w:r>
      <w:r w:rsidRPr="00900E4D">
        <w:t xml:space="preserve">pensiją), </w:t>
      </w:r>
      <w:r>
        <w:t>yra prastos sveikatos ir</w:t>
      </w:r>
      <w:r w:rsidRPr="00900E4D">
        <w:t xml:space="preserve"> dalį pensijos išleidžia vaistams. </w:t>
      </w:r>
    </w:p>
    <w:p w:rsidR="001675B0" w:rsidRDefault="00831DB9" w:rsidP="002603E6">
      <w:pPr>
        <w:ind w:firstLine="1296"/>
        <w:jc w:val="both"/>
      </w:pPr>
      <w:r w:rsidRPr="00900E4D">
        <w:t xml:space="preserve">4. </w:t>
      </w:r>
      <w:r w:rsidR="001675B0">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1675B0" w:rsidRDefault="001675B0" w:rsidP="001675B0">
      <w:pPr>
        <w:pStyle w:val="Pagrindinistekstas"/>
      </w:pPr>
    </w:p>
    <w:p w:rsidR="001675B0" w:rsidRPr="00DC7623" w:rsidRDefault="001675B0" w:rsidP="001675B0">
      <w:pPr>
        <w:pStyle w:val="Pagrindinistekstas"/>
      </w:pPr>
    </w:p>
    <w:p w:rsidR="001675B0" w:rsidRDefault="001675B0" w:rsidP="001675B0">
      <w:pPr>
        <w:pStyle w:val="Pagrindinistekstas"/>
      </w:pPr>
      <w:r w:rsidRPr="00DC7623">
        <w:t xml:space="preserve">Savivaldybės meras                </w:t>
      </w:r>
      <w:r>
        <w:t xml:space="preserve">    </w:t>
      </w:r>
      <w:r w:rsidR="00971F33">
        <w:tab/>
      </w:r>
      <w:r w:rsidR="00971F33">
        <w:tab/>
      </w:r>
      <w:r w:rsidR="00971F33">
        <w:tab/>
      </w:r>
      <w:r w:rsidR="00971F33">
        <w:tab/>
        <w:t xml:space="preserve">     </w:t>
      </w:r>
      <w:r w:rsidR="0043334F" w:rsidRPr="0043334F">
        <w:rPr>
          <w:szCs w:val="24"/>
        </w:rPr>
        <w:t>Juozas Mažeika</w:t>
      </w:r>
      <w:r>
        <w:t xml:space="preserve">                                                                         </w:t>
      </w:r>
      <w:r w:rsidRPr="00DC7623">
        <w:t xml:space="preserve"> </w:t>
      </w:r>
      <w:r>
        <w:t xml:space="preserve">                     </w:t>
      </w:r>
    </w:p>
    <w:p w:rsidR="001675B0" w:rsidRDefault="001675B0" w:rsidP="001675B0">
      <w:pPr>
        <w:pStyle w:val="Pagrindinistekstas"/>
      </w:pPr>
    </w:p>
    <w:p w:rsidR="001675B0" w:rsidRDefault="001675B0" w:rsidP="001675B0"/>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1675B0" w:rsidRDefault="001675B0" w:rsidP="001675B0">
      <w:pPr>
        <w:jc w:val="both"/>
        <w:rPr>
          <w:color w:val="000000"/>
        </w:rPr>
      </w:pPr>
    </w:p>
    <w:p w:rsidR="00815C1E" w:rsidRDefault="00815C1E" w:rsidP="001675B0">
      <w:pPr>
        <w:jc w:val="both"/>
        <w:rPr>
          <w:color w:val="000000"/>
        </w:rPr>
      </w:pPr>
    </w:p>
    <w:p w:rsidR="00815C1E" w:rsidRDefault="00815C1E" w:rsidP="001675B0">
      <w:pPr>
        <w:jc w:val="both"/>
        <w:rPr>
          <w:color w:val="000000"/>
        </w:rPr>
      </w:pPr>
    </w:p>
    <w:p w:rsidR="00815C1E" w:rsidRDefault="00815C1E" w:rsidP="001675B0">
      <w:pPr>
        <w:jc w:val="both"/>
        <w:rPr>
          <w:color w:val="000000"/>
        </w:rPr>
      </w:pPr>
    </w:p>
    <w:p w:rsidR="00815C1E" w:rsidRDefault="00815C1E" w:rsidP="001675B0">
      <w:pPr>
        <w:jc w:val="both"/>
        <w:rPr>
          <w:color w:val="000000"/>
        </w:rPr>
      </w:pPr>
    </w:p>
    <w:p w:rsidR="00815C1E" w:rsidRDefault="00815C1E" w:rsidP="001675B0">
      <w:pPr>
        <w:jc w:val="both"/>
        <w:rPr>
          <w:color w:val="000000"/>
        </w:rPr>
      </w:pPr>
    </w:p>
    <w:p w:rsidR="00815C1E" w:rsidRDefault="00815C1E" w:rsidP="001675B0">
      <w:pPr>
        <w:jc w:val="both"/>
        <w:rPr>
          <w:color w:val="000000"/>
        </w:rPr>
      </w:pPr>
    </w:p>
    <w:p w:rsidR="00815C1E" w:rsidRDefault="00815C1E" w:rsidP="001675B0">
      <w:pPr>
        <w:jc w:val="both"/>
        <w:rPr>
          <w:color w:val="000000"/>
        </w:rPr>
      </w:pPr>
    </w:p>
    <w:p w:rsidR="00752116" w:rsidRDefault="001675B0" w:rsidP="001450A9">
      <w:pPr>
        <w:tabs>
          <w:tab w:val="left" w:pos="4290"/>
        </w:tabs>
        <w:jc w:val="both"/>
        <w:rPr>
          <w:color w:val="000000"/>
          <w:lang w:val="pt-BR"/>
        </w:rPr>
        <w:sectPr w:rsidR="00752116" w:rsidSect="00636A0A">
          <w:headerReference w:type="even" r:id="rId9"/>
          <w:headerReference w:type="default" r:id="rId10"/>
          <w:headerReference w:type="first" r:id="rId11"/>
          <w:pgSz w:w="11906" w:h="16838"/>
          <w:pgMar w:top="1134" w:right="567" w:bottom="1134" w:left="1701" w:header="567" w:footer="567" w:gutter="0"/>
          <w:cols w:space="1296"/>
          <w:titlePg/>
          <w:docGrid w:linePitch="360"/>
        </w:sectPr>
      </w:pPr>
      <w:r>
        <w:rPr>
          <w:color w:val="000000"/>
          <w:lang w:val="pt-BR"/>
        </w:rPr>
        <w:t>Ri</w:t>
      </w:r>
      <w:r w:rsidR="001450A9">
        <w:rPr>
          <w:color w:val="000000"/>
          <w:lang w:val="pt-BR"/>
        </w:rPr>
        <w:t xml:space="preserve">dana </w:t>
      </w:r>
      <w:bookmarkStart w:id="0" w:name="_GoBack"/>
      <w:bookmarkEnd w:id="0"/>
      <w:r w:rsidR="001450A9">
        <w:rPr>
          <w:color w:val="000000"/>
          <w:lang w:val="pt-BR"/>
        </w:rPr>
        <w:t>Bendikienė</w:t>
      </w:r>
    </w:p>
    <w:p w:rsidR="00815C1E" w:rsidRDefault="00815C1E" w:rsidP="00815C1E">
      <w:pPr>
        <w:ind w:left="7776" w:firstLine="1296"/>
      </w:pPr>
      <w:r>
        <w:lastRenderedPageBreak/>
        <w:t xml:space="preserve">                 </w:t>
      </w:r>
      <w:r w:rsidR="00CE3F9E">
        <w:t>Kretingos rajono savivaldybės tarybo</w:t>
      </w:r>
      <w:r>
        <w:t>s</w:t>
      </w:r>
    </w:p>
    <w:p w:rsidR="00CE3F9E" w:rsidRDefault="00815C1E" w:rsidP="00815C1E">
      <w:pPr>
        <w:ind w:left="7776" w:firstLine="1296"/>
      </w:pPr>
      <w:r>
        <w:t xml:space="preserve">                 </w:t>
      </w:r>
      <w:r w:rsidR="00CE3F9E">
        <w:t xml:space="preserve">2017 m. </w:t>
      </w:r>
      <w:r w:rsidR="00296C54">
        <w:t>gruodžio</w:t>
      </w:r>
      <w:r w:rsidR="00CE3F9E">
        <w:t xml:space="preserve"> </w:t>
      </w:r>
      <w:r w:rsidR="00F43475">
        <w:t>21</w:t>
      </w:r>
      <w:r w:rsidR="00CE3F9E">
        <w:t xml:space="preserve"> d. sprendimo Nr. T2-</w:t>
      </w:r>
      <w:r>
        <w:t>330</w:t>
      </w:r>
    </w:p>
    <w:p w:rsidR="00CE3F9E" w:rsidRDefault="00815C1E" w:rsidP="00815C1E">
      <w:pPr>
        <w:ind w:left="9072"/>
      </w:pPr>
      <w:r>
        <w:t xml:space="preserve">                 </w:t>
      </w:r>
      <w:r w:rsidR="00CE3F9E">
        <w:t>priedas</w:t>
      </w:r>
    </w:p>
    <w:p w:rsidR="00CE3F9E" w:rsidRDefault="00CE3F9E" w:rsidP="00CE3F9E"/>
    <w:p w:rsidR="00CE3F9E" w:rsidRPr="0038188B" w:rsidRDefault="00CE3F9E" w:rsidP="00CE3F9E">
      <w:pPr>
        <w:jc w:val="center"/>
        <w:rPr>
          <w:b/>
        </w:rPr>
      </w:pPr>
      <w:r>
        <w:rPr>
          <w:b/>
        </w:rPr>
        <w:t>GYVENTOJŲ, ATLEIDŽIAMŲ NUO ŽEMĖS MOKESČIO</w:t>
      </w:r>
      <w:r w:rsidR="006018EC">
        <w:rPr>
          <w:b/>
        </w:rPr>
        <w:t xml:space="preserve">, APMOKESTINTŲ PADIDINTU </w:t>
      </w:r>
      <w:r w:rsidR="007F052B">
        <w:rPr>
          <w:b/>
        </w:rPr>
        <w:t xml:space="preserve">ŽEMĖS MOKESČIO </w:t>
      </w:r>
      <w:r w:rsidR="006018EC">
        <w:rPr>
          <w:b/>
        </w:rPr>
        <w:t>TARIFU</w:t>
      </w:r>
      <w:r w:rsidR="007F052B">
        <w:rPr>
          <w:b/>
        </w:rPr>
        <w:t xml:space="preserve"> (3 proc.)</w:t>
      </w:r>
      <w:r>
        <w:rPr>
          <w:b/>
        </w:rPr>
        <w:t xml:space="preserve">, </w:t>
      </w:r>
      <w:r w:rsidRPr="0038188B">
        <w:rPr>
          <w:b/>
        </w:rPr>
        <w:t>SĄRAŠAS</w:t>
      </w:r>
    </w:p>
    <w:p w:rsidR="00CE3F9E" w:rsidRDefault="00CE3F9E" w:rsidP="00CE3F9E"/>
    <w:p w:rsidR="00CE3F9E" w:rsidRDefault="00CE3F9E" w:rsidP="00CE3F9E"/>
    <w:tbl>
      <w:tblPr>
        <w:tblStyle w:val="Lentelstinklelis"/>
        <w:tblW w:w="0" w:type="auto"/>
        <w:tblLayout w:type="fixed"/>
        <w:tblLook w:val="04A0" w:firstRow="1" w:lastRow="0" w:firstColumn="1" w:lastColumn="0" w:noHBand="0" w:noVBand="1"/>
      </w:tblPr>
      <w:tblGrid>
        <w:gridCol w:w="2518"/>
        <w:gridCol w:w="1985"/>
        <w:gridCol w:w="1275"/>
        <w:gridCol w:w="1134"/>
        <w:gridCol w:w="2127"/>
        <w:gridCol w:w="4252"/>
        <w:gridCol w:w="1276"/>
      </w:tblGrid>
      <w:tr w:rsidR="00D82077" w:rsidTr="00B36D9C">
        <w:tc>
          <w:tcPr>
            <w:tcW w:w="2518" w:type="dxa"/>
          </w:tcPr>
          <w:p w:rsidR="00CE3F9E" w:rsidRPr="00135F8B" w:rsidRDefault="00CE3F9E" w:rsidP="00F96D02">
            <w:pPr>
              <w:jc w:val="center"/>
              <w:rPr>
                <w:b/>
              </w:rPr>
            </w:pPr>
            <w:r w:rsidRPr="00135F8B">
              <w:rPr>
                <w:b/>
              </w:rPr>
              <w:t>Vardas, pavardė,</w:t>
            </w:r>
          </w:p>
          <w:p w:rsidR="00CE3F9E" w:rsidRPr="00135F8B" w:rsidRDefault="00CE3F9E" w:rsidP="00F96D02">
            <w:pPr>
              <w:jc w:val="center"/>
              <w:rPr>
                <w:b/>
              </w:rPr>
            </w:pPr>
            <w:r w:rsidRPr="00135F8B">
              <w:rPr>
                <w:b/>
              </w:rPr>
              <w:t>gimimo metai</w:t>
            </w:r>
          </w:p>
        </w:tc>
        <w:tc>
          <w:tcPr>
            <w:tcW w:w="1985" w:type="dxa"/>
          </w:tcPr>
          <w:p w:rsidR="00CE3F9E" w:rsidRPr="00135F8B" w:rsidRDefault="00CE3F9E" w:rsidP="00F96D02">
            <w:pPr>
              <w:jc w:val="center"/>
              <w:rPr>
                <w:b/>
              </w:rPr>
            </w:pPr>
            <w:r w:rsidRPr="00135F8B">
              <w:rPr>
                <w:b/>
              </w:rPr>
              <w:t>Gyvenamoji vieta</w:t>
            </w:r>
          </w:p>
        </w:tc>
        <w:tc>
          <w:tcPr>
            <w:tcW w:w="1275" w:type="dxa"/>
          </w:tcPr>
          <w:p w:rsidR="00CE3F9E" w:rsidRPr="00135F8B" w:rsidRDefault="00CE3F9E" w:rsidP="00F96D02">
            <w:pPr>
              <w:jc w:val="center"/>
              <w:rPr>
                <w:b/>
              </w:rPr>
            </w:pPr>
            <w:r w:rsidRPr="00135F8B">
              <w:rPr>
                <w:b/>
              </w:rPr>
              <w:t xml:space="preserve">Mokesčio suma </w:t>
            </w:r>
            <w:r w:rsidR="006B5782">
              <w:rPr>
                <w:b/>
              </w:rPr>
              <w:t xml:space="preserve">su 3 proc. </w:t>
            </w:r>
            <w:r w:rsidRPr="00135F8B">
              <w:rPr>
                <w:b/>
              </w:rPr>
              <w:t>(Eur)</w:t>
            </w:r>
          </w:p>
        </w:tc>
        <w:tc>
          <w:tcPr>
            <w:tcW w:w="1134" w:type="dxa"/>
          </w:tcPr>
          <w:p w:rsidR="00CE3F9E" w:rsidRPr="00135F8B" w:rsidRDefault="00CE3F9E" w:rsidP="00F96D02">
            <w:pPr>
              <w:jc w:val="center"/>
              <w:rPr>
                <w:b/>
              </w:rPr>
            </w:pPr>
            <w:r w:rsidRPr="00135F8B">
              <w:rPr>
                <w:b/>
              </w:rPr>
              <w:t>Suteikiama lengvata (proc.)</w:t>
            </w:r>
          </w:p>
        </w:tc>
        <w:tc>
          <w:tcPr>
            <w:tcW w:w="2127" w:type="dxa"/>
          </w:tcPr>
          <w:p w:rsidR="00CE3F9E" w:rsidRPr="00135F8B" w:rsidRDefault="00CE3F9E" w:rsidP="00F96D02">
            <w:pPr>
              <w:jc w:val="center"/>
              <w:rPr>
                <w:b/>
              </w:rPr>
            </w:pPr>
            <w:r w:rsidRPr="00135F8B">
              <w:rPr>
                <w:b/>
              </w:rPr>
              <w:t>Mokesčio lengvata sklypui (unikalus sklypo kodas)</w:t>
            </w:r>
          </w:p>
        </w:tc>
        <w:tc>
          <w:tcPr>
            <w:tcW w:w="4252" w:type="dxa"/>
          </w:tcPr>
          <w:p w:rsidR="00C2755E" w:rsidRDefault="00C2755E" w:rsidP="00F96D02">
            <w:pPr>
              <w:jc w:val="center"/>
              <w:rPr>
                <w:b/>
              </w:rPr>
            </w:pPr>
          </w:p>
          <w:p w:rsidR="00CE3F9E" w:rsidRDefault="00CE3F9E" w:rsidP="00F96D02">
            <w:pPr>
              <w:jc w:val="center"/>
              <w:rPr>
                <w:b/>
              </w:rPr>
            </w:pPr>
            <w:r w:rsidRPr="00135F8B">
              <w:rPr>
                <w:b/>
              </w:rPr>
              <w:t>Priežastis atleidimui</w:t>
            </w:r>
          </w:p>
          <w:p w:rsidR="00B36D9C" w:rsidRPr="00135F8B" w:rsidRDefault="00B36D9C" w:rsidP="00F96D02">
            <w:pPr>
              <w:jc w:val="center"/>
              <w:rPr>
                <w:b/>
              </w:rPr>
            </w:pPr>
            <w:r>
              <w:rPr>
                <w:b/>
              </w:rPr>
              <w:t>(seniūno pasiūlymas)</w:t>
            </w:r>
          </w:p>
        </w:tc>
        <w:tc>
          <w:tcPr>
            <w:tcW w:w="1276" w:type="dxa"/>
          </w:tcPr>
          <w:p w:rsidR="00CE3F9E" w:rsidRPr="00135F8B" w:rsidRDefault="00CE3F9E" w:rsidP="00F96D02">
            <w:pPr>
              <w:jc w:val="center"/>
              <w:rPr>
                <w:b/>
              </w:rPr>
            </w:pPr>
            <w:r w:rsidRPr="00135F8B">
              <w:rPr>
                <w:b/>
              </w:rPr>
              <w:t>Atleidimo suma (Eur)</w:t>
            </w:r>
          </w:p>
        </w:tc>
      </w:tr>
      <w:tr w:rsidR="00D82077" w:rsidTr="00B36D9C">
        <w:tc>
          <w:tcPr>
            <w:tcW w:w="2518" w:type="dxa"/>
          </w:tcPr>
          <w:p w:rsidR="00CE3F9E" w:rsidRPr="00AF763B" w:rsidRDefault="00AF763B" w:rsidP="005B61B3">
            <w:pPr>
              <w:jc w:val="both"/>
              <w:rPr>
                <w:sz w:val="22"/>
                <w:szCs w:val="22"/>
              </w:rPr>
            </w:pPr>
            <w:r w:rsidRPr="00AF763B">
              <w:rPr>
                <w:sz w:val="22"/>
                <w:szCs w:val="22"/>
              </w:rPr>
              <w:t>1.</w:t>
            </w:r>
            <w:r>
              <w:rPr>
                <w:sz w:val="22"/>
                <w:szCs w:val="22"/>
              </w:rPr>
              <w:t xml:space="preserve"> </w:t>
            </w:r>
            <w:r w:rsidR="005B451E" w:rsidRPr="00AF763B">
              <w:rPr>
                <w:sz w:val="22"/>
                <w:szCs w:val="22"/>
              </w:rPr>
              <w:t>R</w:t>
            </w:r>
            <w:r w:rsidR="005B61B3">
              <w:rPr>
                <w:sz w:val="22"/>
                <w:szCs w:val="22"/>
              </w:rPr>
              <w:t>.</w:t>
            </w:r>
            <w:r w:rsidR="005B451E" w:rsidRPr="00AF763B">
              <w:rPr>
                <w:sz w:val="22"/>
                <w:szCs w:val="22"/>
              </w:rPr>
              <w:t xml:space="preserve"> M</w:t>
            </w:r>
            <w:r w:rsidR="005B61B3">
              <w:rPr>
                <w:sz w:val="22"/>
                <w:szCs w:val="22"/>
              </w:rPr>
              <w:t>.</w:t>
            </w:r>
            <w:r w:rsidR="006B5782" w:rsidRPr="00AF763B">
              <w:rPr>
                <w:sz w:val="22"/>
                <w:szCs w:val="22"/>
              </w:rPr>
              <w:t xml:space="preserve">, gim. </w:t>
            </w:r>
            <w:r w:rsidR="005B61B3">
              <w:t>(</w:t>
            </w:r>
            <w:r w:rsidR="005B61B3">
              <w:rPr>
                <w:i/>
              </w:rPr>
              <w:t>duomenys neskelbtini</w:t>
            </w:r>
            <w:r w:rsidR="005B61B3">
              <w:t>)</w:t>
            </w:r>
          </w:p>
        </w:tc>
        <w:tc>
          <w:tcPr>
            <w:tcW w:w="1985" w:type="dxa"/>
          </w:tcPr>
          <w:p w:rsidR="00CE3F9E" w:rsidRPr="00AF763B" w:rsidRDefault="005B61B3" w:rsidP="004E7AA8">
            <w:pPr>
              <w:jc w:val="both"/>
              <w:rPr>
                <w:sz w:val="22"/>
                <w:szCs w:val="22"/>
              </w:rPr>
            </w:pPr>
            <w:r>
              <w:t>(</w:t>
            </w:r>
            <w:r>
              <w:rPr>
                <w:i/>
              </w:rPr>
              <w:t>duomenys neskelbtini</w:t>
            </w:r>
            <w:r>
              <w:t>)</w:t>
            </w:r>
          </w:p>
        </w:tc>
        <w:tc>
          <w:tcPr>
            <w:tcW w:w="1275" w:type="dxa"/>
          </w:tcPr>
          <w:p w:rsidR="00711682" w:rsidRPr="00AF763B" w:rsidRDefault="00711682" w:rsidP="00D82077">
            <w:pPr>
              <w:jc w:val="center"/>
              <w:rPr>
                <w:sz w:val="22"/>
                <w:szCs w:val="22"/>
              </w:rPr>
            </w:pPr>
          </w:p>
          <w:p w:rsidR="00CE3F9E" w:rsidRPr="00AF763B" w:rsidRDefault="00711682" w:rsidP="00D82077">
            <w:pPr>
              <w:jc w:val="center"/>
              <w:rPr>
                <w:sz w:val="22"/>
                <w:szCs w:val="22"/>
              </w:rPr>
            </w:pPr>
            <w:r w:rsidRPr="00AF763B">
              <w:rPr>
                <w:sz w:val="22"/>
                <w:szCs w:val="22"/>
              </w:rPr>
              <w:t>273,69</w:t>
            </w:r>
          </w:p>
        </w:tc>
        <w:tc>
          <w:tcPr>
            <w:tcW w:w="1134" w:type="dxa"/>
          </w:tcPr>
          <w:p w:rsidR="00711682" w:rsidRPr="00AF763B" w:rsidRDefault="00711682" w:rsidP="00D82077">
            <w:pPr>
              <w:jc w:val="center"/>
              <w:rPr>
                <w:sz w:val="22"/>
                <w:szCs w:val="22"/>
              </w:rPr>
            </w:pPr>
          </w:p>
          <w:p w:rsidR="00CE3F9E" w:rsidRPr="00AF763B" w:rsidRDefault="00193BCE" w:rsidP="00D82077">
            <w:pPr>
              <w:jc w:val="center"/>
              <w:rPr>
                <w:sz w:val="22"/>
                <w:szCs w:val="22"/>
              </w:rPr>
            </w:pPr>
            <w:r w:rsidRPr="00AF763B">
              <w:rPr>
                <w:sz w:val="22"/>
                <w:szCs w:val="22"/>
              </w:rPr>
              <w:t>9</w:t>
            </w:r>
            <w:r w:rsidR="006B5782" w:rsidRPr="00AF763B">
              <w:rPr>
                <w:sz w:val="22"/>
                <w:szCs w:val="22"/>
              </w:rPr>
              <w:t>0</w:t>
            </w:r>
          </w:p>
        </w:tc>
        <w:tc>
          <w:tcPr>
            <w:tcW w:w="2127" w:type="dxa"/>
          </w:tcPr>
          <w:p w:rsidR="00711682" w:rsidRPr="00AF763B" w:rsidRDefault="00711682" w:rsidP="00D82077">
            <w:pPr>
              <w:jc w:val="center"/>
              <w:rPr>
                <w:sz w:val="22"/>
                <w:szCs w:val="22"/>
              </w:rPr>
            </w:pPr>
          </w:p>
          <w:p w:rsidR="00CE3F9E" w:rsidRPr="00AF763B" w:rsidRDefault="00193BCE" w:rsidP="00D82077">
            <w:pPr>
              <w:jc w:val="center"/>
              <w:rPr>
                <w:sz w:val="22"/>
                <w:szCs w:val="22"/>
              </w:rPr>
            </w:pPr>
            <w:r w:rsidRPr="00AF763B">
              <w:rPr>
                <w:sz w:val="22"/>
                <w:szCs w:val="22"/>
              </w:rPr>
              <w:t>560400090092</w:t>
            </w:r>
            <w:r w:rsidR="006B5782" w:rsidRPr="00AF763B">
              <w:rPr>
                <w:sz w:val="22"/>
                <w:szCs w:val="22"/>
              </w:rPr>
              <w:t>/0</w:t>
            </w:r>
          </w:p>
        </w:tc>
        <w:tc>
          <w:tcPr>
            <w:tcW w:w="4252" w:type="dxa"/>
          </w:tcPr>
          <w:p w:rsidR="00CE3F9E" w:rsidRPr="00AF763B" w:rsidRDefault="00712D7B" w:rsidP="005B61B3">
            <w:pPr>
              <w:jc w:val="both"/>
              <w:rPr>
                <w:sz w:val="22"/>
                <w:szCs w:val="22"/>
              </w:rPr>
            </w:pPr>
            <w:r w:rsidRPr="00AF763B">
              <w:rPr>
                <w:sz w:val="22"/>
                <w:szCs w:val="22"/>
              </w:rPr>
              <w:t>R. M</w:t>
            </w:r>
            <w:r w:rsidR="005B61B3">
              <w:rPr>
                <w:sz w:val="22"/>
                <w:szCs w:val="22"/>
              </w:rPr>
              <w:t>.</w:t>
            </w:r>
            <w:r w:rsidRPr="00AF763B">
              <w:rPr>
                <w:sz w:val="22"/>
                <w:szCs w:val="22"/>
              </w:rPr>
              <w:t xml:space="preserve"> šeimos materialinė padėtis bloga, nes dėl užsitęsusios ligos pilietis yra bedarbis, žmonos pajamos – </w:t>
            </w:r>
            <w:r w:rsidR="005B61B3">
              <w:t>(</w:t>
            </w:r>
            <w:r w:rsidR="005B61B3">
              <w:rPr>
                <w:i/>
              </w:rPr>
              <w:t>duomenys neskelbtini</w:t>
            </w:r>
            <w:r w:rsidR="005B61B3">
              <w:t>)</w:t>
            </w:r>
            <w:r w:rsidR="005B61B3" w:rsidRPr="0051020F">
              <w:t xml:space="preserve"> </w:t>
            </w:r>
            <w:r w:rsidRPr="00AF763B">
              <w:rPr>
                <w:sz w:val="22"/>
                <w:szCs w:val="22"/>
              </w:rPr>
              <w:t>(nedarbo draudimo išmoka), dukra studentė.</w:t>
            </w:r>
            <w:r w:rsidR="00711682" w:rsidRPr="00AF763B">
              <w:rPr>
                <w:sz w:val="22"/>
                <w:szCs w:val="22"/>
              </w:rPr>
              <w:t xml:space="preserve"> Sklypo sutvarkyti nespėjo laiku</w:t>
            </w:r>
            <w:r w:rsidRPr="00AF763B">
              <w:rPr>
                <w:sz w:val="22"/>
                <w:szCs w:val="22"/>
              </w:rPr>
              <w:t xml:space="preserve">, nes nuo 2017-03-07 iki 2017-08-07 gulėjo ligoninėje ir šiuo metu gydosi </w:t>
            </w:r>
            <w:r w:rsidR="00177C0A" w:rsidRPr="00AF763B">
              <w:rPr>
                <w:sz w:val="22"/>
                <w:szCs w:val="22"/>
              </w:rPr>
              <w:t>a</w:t>
            </w:r>
            <w:r w:rsidRPr="00AF763B">
              <w:rPr>
                <w:sz w:val="22"/>
                <w:szCs w:val="22"/>
              </w:rPr>
              <w:t>mbulatoriškai</w:t>
            </w:r>
          </w:p>
        </w:tc>
        <w:tc>
          <w:tcPr>
            <w:tcW w:w="1276" w:type="dxa"/>
          </w:tcPr>
          <w:p w:rsidR="00711682" w:rsidRPr="00AF763B" w:rsidRDefault="00711682" w:rsidP="00D82077">
            <w:pPr>
              <w:jc w:val="center"/>
              <w:rPr>
                <w:sz w:val="22"/>
                <w:szCs w:val="22"/>
              </w:rPr>
            </w:pPr>
          </w:p>
          <w:p w:rsidR="00CE3F9E" w:rsidRPr="00AF763B" w:rsidRDefault="00711682" w:rsidP="00D82077">
            <w:pPr>
              <w:jc w:val="center"/>
              <w:rPr>
                <w:sz w:val="22"/>
                <w:szCs w:val="22"/>
              </w:rPr>
            </w:pPr>
            <w:r w:rsidRPr="00AF763B">
              <w:rPr>
                <w:sz w:val="22"/>
                <w:szCs w:val="22"/>
              </w:rPr>
              <w:t>246,32</w:t>
            </w:r>
          </w:p>
        </w:tc>
      </w:tr>
      <w:tr w:rsidR="00D82077" w:rsidTr="00B36D9C">
        <w:tc>
          <w:tcPr>
            <w:tcW w:w="2518" w:type="dxa"/>
          </w:tcPr>
          <w:p w:rsidR="00CE3F9E" w:rsidRPr="00AF763B" w:rsidRDefault="00AF763B" w:rsidP="005B61B3">
            <w:pPr>
              <w:jc w:val="both"/>
              <w:rPr>
                <w:sz w:val="22"/>
                <w:szCs w:val="22"/>
              </w:rPr>
            </w:pPr>
            <w:r>
              <w:rPr>
                <w:sz w:val="22"/>
                <w:szCs w:val="22"/>
              </w:rPr>
              <w:t xml:space="preserve">2.   </w:t>
            </w:r>
            <w:r w:rsidR="004C620B" w:rsidRPr="00AF763B">
              <w:rPr>
                <w:sz w:val="22"/>
                <w:szCs w:val="22"/>
              </w:rPr>
              <w:t>L</w:t>
            </w:r>
            <w:r w:rsidR="005B61B3">
              <w:rPr>
                <w:sz w:val="22"/>
                <w:szCs w:val="22"/>
              </w:rPr>
              <w:t>.</w:t>
            </w:r>
            <w:r w:rsidR="004C620B" w:rsidRPr="00AF763B">
              <w:rPr>
                <w:sz w:val="22"/>
                <w:szCs w:val="22"/>
              </w:rPr>
              <w:t xml:space="preserve"> T</w:t>
            </w:r>
            <w:r w:rsidR="005B61B3">
              <w:rPr>
                <w:sz w:val="22"/>
                <w:szCs w:val="22"/>
              </w:rPr>
              <w:t>.</w:t>
            </w:r>
            <w:r w:rsidR="004C620B" w:rsidRPr="00AF763B">
              <w:rPr>
                <w:sz w:val="22"/>
                <w:szCs w:val="22"/>
              </w:rPr>
              <w:t xml:space="preserve">, gim. </w:t>
            </w:r>
            <w:r w:rsidR="005B61B3">
              <w:t>(</w:t>
            </w:r>
            <w:r w:rsidR="005B61B3">
              <w:rPr>
                <w:i/>
              </w:rPr>
              <w:t>duomenys neskelbtini</w:t>
            </w:r>
            <w:r w:rsidR="005B61B3">
              <w:t>)</w:t>
            </w:r>
          </w:p>
        </w:tc>
        <w:tc>
          <w:tcPr>
            <w:tcW w:w="1985" w:type="dxa"/>
          </w:tcPr>
          <w:p w:rsidR="00CE3F9E" w:rsidRPr="00AF763B" w:rsidRDefault="005B61B3" w:rsidP="004C620B">
            <w:pPr>
              <w:jc w:val="both"/>
              <w:rPr>
                <w:sz w:val="22"/>
                <w:szCs w:val="22"/>
              </w:rPr>
            </w:pPr>
            <w:r>
              <w:t>(</w:t>
            </w:r>
            <w:r>
              <w:rPr>
                <w:i/>
              </w:rPr>
              <w:t>duomenys neskelbtini</w:t>
            </w:r>
            <w:r>
              <w:t>)</w:t>
            </w:r>
          </w:p>
        </w:tc>
        <w:tc>
          <w:tcPr>
            <w:tcW w:w="1275" w:type="dxa"/>
          </w:tcPr>
          <w:p w:rsidR="00711682" w:rsidRPr="00AF763B" w:rsidRDefault="00711682" w:rsidP="00B429D1">
            <w:pPr>
              <w:jc w:val="center"/>
              <w:rPr>
                <w:sz w:val="22"/>
                <w:szCs w:val="22"/>
              </w:rPr>
            </w:pPr>
          </w:p>
          <w:p w:rsidR="00B429D1" w:rsidRPr="00AF763B" w:rsidRDefault="00711682" w:rsidP="00B429D1">
            <w:pPr>
              <w:jc w:val="center"/>
              <w:rPr>
                <w:sz w:val="22"/>
                <w:szCs w:val="22"/>
              </w:rPr>
            </w:pPr>
            <w:r w:rsidRPr="00AF763B">
              <w:rPr>
                <w:sz w:val="22"/>
                <w:szCs w:val="22"/>
              </w:rPr>
              <w:t>973,11</w:t>
            </w:r>
          </w:p>
        </w:tc>
        <w:tc>
          <w:tcPr>
            <w:tcW w:w="1134" w:type="dxa"/>
          </w:tcPr>
          <w:p w:rsidR="00711682" w:rsidRPr="00AF763B" w:rsidRDefault="00711682" w:rsidP="00D82077">
            <w:pPr>
              <w:jc w:val="center"/>
              <w:rPr>
                <w:sz w:val="22"/>
                <w:szCs w:val="22"/>
              </w:rPr>
            </w:pPr>
          </w:p>
          <w:p w:rsidR="00CE3F9E" w:rsidRPr="00AF763B" w:rsidRDefault="00711682" w:rsidP="00D82077">
            <w:pPr>
              <w:jc w:val="center"/>
              <w:rPr>
                <w:sz w:val="22"/>
                <w:szCs w:val="22"/>
              </w:rPr>
            </w:pPr>
            <w:r w:rsidRPr="00AF763B">
              <w:rPr>
                <w:sz w:val="22"/>
                <w:szCs w:val="22"/>
              </w:rPr>
              <w:t>6</w:t>
            </w:r>
            <w:r w:rsidR="006B5782" w:rsidRPr="00AF763B">
              <w:rPr>
                <w:sz w:val="22"/>
                <w:szCs w:val="22"/>
              </w:rPr>
              <w:t>0</w:t>
            </w:r>
          </w:p>
        </w:tc>
        <w:tc>
          <w:tcPr>
            <w:tcW w:w="2127" w:type="dxa"/>
          </w:tcPr>
          <w:p w:rsidR="00B429D1" w:rsidRPr="00AF763B" w:rsidRDefault="00B429D1" w:rsidP="00D82077">
            <w:pPr>
              <w:jc w:val="center"/>
              <w:rPr>
                <w:sz w:val="22"/>
                <w:szCs w:val="22"/>
              </w:rPr>
            </w:pPr>
          </w:p>
          <w:p w:rsidR="006B5782" w:rsidRPr="00AF763B" w:rsidRDefault="00711682" w:rsidP="00711682">
            <w:pPr>
              <w:jc w:val="center"/>
              <w:rPr>
                <w:sz w:val="22"/>
                <w:szCs w:val="22"/>
              </w:rPr>
            </w:pPr>
            <w:r w:rsidRPr="00AF763B">
              <w:rPr>
                <w:sz w:val="22"/>
                <w:szCs w:val="22"/>
              </w:rPr>
              <w:t>567000050018</w:t>
            </w:r>
            <w:r w:rsidR="006B5782" w:rsidRPr="00AF763B">
              <w:rPr>
                <w:sz w:val="22"/>
                <w:szCs w:val="22"/>
              </w:rPr>
              <w:t>/</w:t>
            </w:r>
            <w:r w:rsidRPr="00AF763B">
              <w:rPr>
                <w:sz w:val="22"/>
                <w:szCs w:val="22"/>
              </w:rPr>
              <w:t>0</w:t>
            </w:r>
          </w:p>
        </w:tc>
        <w:tc>
          <w:tcPr>
            <w:tcW w:w="4252" w:type="dxa"/>
          </w:tcPr>
          <w:p w:rsidR="004C620B" w:rsidRPr="00AF763B" w:rsidRDefault="00420BA1" w:rsidP="00420BA1">
            <w:pPr>
              <w:jc w:val="both"/>
              <w:rPr>
                <w:sz w:val="22"/>
                <w:szCs w:val="22"/>
              </w:rPr>
            </w:pPr>
            <w:r w:rsidRPr="00AF763B">
              <w:rPr>
                <w:sz w:val="22"/>
                <w:szCs w:val="22"/>
              </w:rPr>
              <w:t>L. T</w:t>
            </w:r>
            <w:r>
              <w:rPr>
                <w:sz w:val="22"/>
                <w:szCs w:val="22"/>
              </w:rPr>
              <w:t>.</w:t>
            </w:r>
            <w:r w:rsidRPr="00AF763B">
              <w:rPr>
                <w:sz w:val="22"/>
                <w:szCs w:val="22"/>
              </w:rPr>
              <w:t xml:space="preserve"> šeima yra daugiavaikė (vaikams – 5 m., 14 m. ir 18 m.), du vaikai yra moksleiviai, vienas – lanko darželį. Pilietės šeima turi paėmusi paskolą butui pirkti</w:t>
            </w:r>
            <w:r>
              <w:rPr>
                <w:sz w:val="22"/>
                <w:szCs w:val="22"/>
              </w:rPr>
              <w:t xml:space="preserve"> ir kiekvieną mėnesį turi mokėti paskolą. T. šeimos pajamos – 1932 Eur, o einamosios mėnesio išlaidos, be komunalinių išlaidų, – 667 Eur (už nepilnamečių vaikų mokymosi išlaidas, paskolą, lizingą už mašiną). Į turimą sklypą per gyventojų supiltas žemes su transporto priemone sunku įvažiuoti. Paskaičiuotas žemės mokestis būtų per didelė finansinė našta L. T. šeimai</w:t>
            </w:r>
          </w:p>
        </w:tc>
        <w:tc>
          <w:tcPr>
            <w:tcW w:w="1276" w:type="dxa"/>
          </w:tcPr>
          <w:p w:rsidR="00B429D1" w:rsidRPr="00AF763B" w:rsidRDefault="00B429D1" w:rsidP="00D82077">
            <w:pPr>
              <w:jc w:val="center"/>
              <w:rPr>
                <w:sz w:val="22"/>
                <w:szCs w:val="22"/>
              </w:rPr>
            </w:pPr>
          </w:p>
          <w:p w:rsidR="00711682" w:rsidRPr="00AF763B" w:rsidRDefault="00711682" w:rsidP="00D82077">
            <w:pPr>
              <w:jc w:val="center"/>
              <w:rPr>
                <w:sz w:val="22"/>
                <w:szCs w:val="22"/>
              </w:rPr>
            </w:pPr>
            <w:r w:rsidRPr="00AF763B">
              <w:rPr>
                <w:sz w:val="22"/>
                <w:szCs w:val="22"/>
              </w:rPr>
              <w:t>583,86</w:t>
            </w:r>
          </w:p>
        </w:tc>
      </w:tr>
      <w:tr w:rsidR="00D82077" w:rsidTr="00B36D9C">
        <w:tc>
          <w:tcPr>
            <w:tcW w:w="2518" w:type="dxa"/>
          </w:tcPr>
          <w:p w:rsidR="00D82077" w:rsidRPr="00D82077" w:rsidRDefault="00D82077" w:rsidP="00D82077">
            <w:pPr>
              <w:jc w:val="right"/>
              <w:rPr>
                <w:b/>
              </w:rPr>
            </w:pPr>
            <w:r w:rsidRPr="00D82077">
              <w:rPr>
                <w:b/>
              </w:rPr>
              <w:t>Viso:</w:t>
            </w:r>
          </w:p>
        </w:tc>
        <w:tc>
          <w:tcPr>
            <w:tcW w:w="1985" w:type="dxa"/>
          </w:tcPr>
          <w:p w:rsidR="00D82077" w:rsidRDefault="00D82077" w:rsidP="00F96D02">
            <w:pPr>
              <w:jc w:val="both"/>
            </w:pPr>
          </w:p>
        </w:tc>
        <w:tc>
          <w:tcPr>
            <w:tcW w:w="1275" w:type="dxa"/>
          </w:tcPr>
          <w:p w:rsidR="00D82077" w:rsidRDefault="00D82077" w:rsidP="00F96D02">
            <w:pPr>
              <w:jc w:val="both"/>
            </w:pPr>
          </w:p>
        </w:tc>
        <w:tc>
          <w:tcPr>
            <w:tcW w:w="1134" w:type="dxa"/>
          </w:tcPr>
          <w:p w:rsidR="00D82077" w:rsidRDefault="00D82077" w:rsidP="00F96D02">
            <w:pPr>
              <w:jc w:val="both"/>
            </w:pPr>
          </w:p>
        </w:tc>
        <w:tc>
          <w:tcPr>
            <w:tcW w:w="2127" w:type="dxa"/>
          </w:tcPr>
          <w:p w:rsidR="00D82077" w:rsidRDefault="00D82077" w:rsidP="00F96D02">
            <w:pPr>
              <w:jc w:val="both"/>
            </w:pPr>
          </w:p>
        </w:tc>
        <w:tc>
          <w:tcPr>
            <w:tcW w:w="4252" w:type="dxa"/>
          </w:tcPr>
          <w:p w:rsidR="00D82077" w:rsidRDefault="00D82077" w:rsidP="00F96D02">
            <w:pPr>
              <w:jc w:val="both"/>
            </w:pPr>
          </w:p>
        </w:tc>
        <w:tc>
          <w:tcPr>
            <w:tcW w:w="1276" w:type="dxa"/>
          </w:tcPr>
          <w:p w:rsidR="00D82077" w:rsidRPr="00D82077" w:rsidRDefault="00711682" w:rsidP="00711682">
            <w:pPr>
              <w:jc w:val="both"/>
              <w:rPr>
                <w:b/>
              </w:rPr>
            </w:pPr>
            <w:r>
              <w:rPr>
                <w:b/>
              </w:rPr>
              <w:t xml:space="preserve">   830,18</w:t>
            </w:r>
          </w:p>
        </w:tc>
      </w:tr>
    </w:tbl>
    <w:p w:rsidR="007153D5" w:rsidRDefault="007153D5" w:rsidP="007153D5">
      <w:pPr>
        <w:jc w:val="center"/>
      </w:pPr>
      <w:r>
        <w:t>_______________________________________</w:t>
      </w:r>
    </w:p>
    <w:sectPr w:rsidR="007153D5" w:rsidSect="00815C1E">
      <w:headerReference w:type="first" r:id="rId12"/>
      <w:pgSz w:w="16838" w:h="11906" w:orient="landscape"/>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2ED" w:rsidRDefault="008D42ED" w:rsidP="007D3EDE">
      <w:r>
        <w:separator/>
      </w:r>
    </w:p>
  </w:endnote>
  <w:endnote w:type="continuationSeparator" w:id="0">
    <w:p w:rsidR="008D42ED" w:rsidRDefault="008D42ED" w:rsidP="007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2ED" w:rsidRDefault="008D42ED" w:rsidP="007D3EDE">
      <w:r>
        <w:separator/>
      </w:r>
    </w:p>
  </w:footnote>
  <w:footnote w:type="continuationSeparator" w:id="0">
    <w:p w:rsidR="008D42ED" w:rsidRDefault="008D42ED" w:rsidP="007D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27" w:rsidRDefault="00A67427" w:rsidP="000F5FA7">
    <w:pPr>
      <w:pStyle w:val="Antrats"/>
      <w:jc w:val="center"/>
    </w:pPr>
    <w: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27" w:rsidRDefault="00A67427">
    <w:pPr>
      <w:pStyle w:val="Antrats"/>
      <w:jc w:val="center"/>
    </w:pPr>
  </w:p>
  <w:p w:rsidR="00A67427" w:rsidRDefault="00A674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27" w:rsidRDefault="00A67427">
    <w:pPr>
      <w:pStyle w:val="Antrats"/>
      <w:jc w:val="center"/>
    </w:pPr>
  </w:p>
  <w:p w:rsidR="00F43475" w:rsidRPr="00F43475" w:rsidRDefault="00FF30A9" w:rsidP="00F43475">
    <w:pPr>
      <w:tabs>
        <w:tab w:val="center" w:pos="4819"/>
        <w:tab w:val="right" w:pos="9638"/>
      </w:tabs>
      <w:jc w:val="right"/>
      <w:rPr>
        <w:rFonts w:eastAsia="Calibri"/>
        <w:b/>
      </w:rPr>
    </w:pPr>
    <w:r>
      <w:rPr>
        <w:rFonts w:eastAsia="Calibri"/>
        <w:b/>
      </w:rPr>
      <w:t>N</w:t>
    </w:r>
    <w:r w:rsidR="00F43475" w:rsidRPr="00F43475">
      <w:rPr>
        <w:rFonts w:eastAsia="Calibri"/>
        <w:b/>
      </w:rPr>
      <w:t>uasmenintas</w:t>
    </w:r>
  </w:p>
  <w:p w:rsidR="00A67427" w:rsidRDefault="00A6742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27" w:rsidRDefault="00A674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623"/>
    <w:multiLevelType w:val="hybridMultilevel"/>
    <w:tmpl w:val="50B48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F1DE9"/>
    <w:multiLevelType w:val="hybridMultilevel"/>
    <w:tmpl w:val="3B34C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095819"/>
    <w:multiLevelType w:val="hybridMultilevel"/>
    <w:tmpl w:val="91D05024"/>
    <w:lvl w:ilvl="0" w:tplc="AB820ADE">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634AD"/>
    <w:multiLevelType w:val="hybridMultilevel"/>
    <w:tmpl w:val="3A2AA9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C13688"/>
    <w:multiLevelType w:val="hybridMultilevel"/>
    <w:tmpl w:val="86FAA98A"/>
    <w:lvl w:ilvl="0" w:tplc="C2A26F16">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769DA"/>
    <w:multiLevelType w:val="hybridMultilevel"/>
    <w:tmpl w:val="1DCC8D0E"/>
    <w:lvl w:ilvl="0" w:tplc="B31478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08710D"/>
    <w:multiLevelType w:val="hybridMultilevel"/>
    <w:tmpl w:val="61A80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5F4021"/>
    <w:multiLevelType w:val="hybridMultilevel"/>
    <w:tmpl w:val="18F60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C411AA"/>
    <w:multiLevelType w:val="hybridMultilevel"/>
    <w:tmpl w:val="48F66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7E250D"/>
    <w:multiLevelType w:val="hybridMultilevel"/>
    <w:tmpl w:val="91D05024"/>
    <w:lvl w:ilvl="0" w:tplc="AB820ADE">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7120D0"/>
    <w:multiLevelType w:val="hybridMultilevel"/>
    <w:tmpl w:val="CE763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57198"/>
    <w:multiLevelType w:val="hybridMultilevel"/>
    <w:tmpl w:val="679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344EB5"/>
    <w:multiLevelType w:val="hybridMultilevel"/>
    <w:tmpl w:val="AC6C3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691704"/>
    <w:multiLevelType w:val="hybridMultilevel"/>
    <w:tmpl w:val="922E9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11"/>
  </w:num>
  <w:num w:numId="5">
    <w:abstractNumId w:val="7"/>
  </w:num>
  <w:num w:numId="6">
    <w:abstractNumId w:val="0"/>
  </w:num>
  <w:num w:numId="7">
    <w:abstractNumId w:val="1"/>
  </w:num>
  <w:num w:numId="8">
    <w:abstractNumId w:val="8"/>
  </w:num>
  <w:num w:numId="9">
    <w:abstractNumId w:val="13"/>
  </w:num>
  <w:num w:numId="10">
    <w:abstractNumId w:val="12"/>
  </w:num>
  <w:num w:numId="11">
    <w:abstractNumId w:val="10"/>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4"/>
    <w:rsid w:val="00014ED0"/>
    <w:rsid w:val="00015492"/>
    <w:rsid w:val="00080766"/>
    <w:rsid w:val="000947A9"/>
    <w:rsid w:val="000A05C1"/>
    <w:rsid w:val="000A3ABD"/>
    <w:rsid w:val="000B5858"/>
    <w:rsid w:val="000D7548"/>
    <w:rsid w:val="000F5444"/>
    <w:rsid w:val="000F5FA7"/>
    <w:rsid w:val="000F6FA0"/>
    <w:rsid w:val="00104DC6"/>
    <w:rsid w:val="001109AF"/>
    <w:rsid w:val="00112F59"/>
    <w:rsid w:val="001307EA"/>
    <w:rsid w:val="00135F8B"/>
    <w:rsid w:val="001450A9"/>
    <w:rsid w:val="0015157B"/>
    <w:rsid w:val="0015482C"/>
    <w:rsid w:val="0016466E"/>
    <w:rsid w:val="001675B0"/>
    <w:rsid w:val="001734C4"/>
    <w:rsid w:val="00177C0A"/>
    <w:rsid w:val="00187621"/>
    <w:rsid w:val="00193BCE"/>
    <w:rsid w:val="001A4462"/>
    <w:rsid w:val="001B30CA"/>
    <w:rsid w:val="001C4BB5"/>
    <w:rsid w:val="001C6B37"/>
    <w:rsid w:val="00215394"/>
    <w:rsid w:val="002210B6"/>
    <w:rsid w:val="00231745"/>
    <w:rsid w:val="00245F5A"/>
    <w:rsid w:val="002603E6"/>
    <w:rsid w:val="00283E8B"/>
    <w:rsid w:val="00296C54"/>
    <w:rsid w:val="002A1789"/>
    <w:rsid w:val="002A3391"/>
    <w:rsid w:val="002C05C3"/>
    <w:rsid w:val="002C1D36"/>
    <w:rsid w:val="00310679"/>
    <w:rsid w:val="00321C95"/>
    <w:rsid w:val="003C27AC"/>
    <w:rsid w:val="003C6740"/>
    <w:rsid w:val="003F02BC"/>
    <w:rsid w:val="003F0C88"/>
    <w:rsid w:val="003F2CEB"/>
    <w:rsid w:val="00420BA1"/>
    <w:rsid w:val="0043334F"/>
    <w:rsid w:val="00455B55"/>
    <w:rsid w:val="00465949"/>
    <w:rsid w:val="00472D0A"/>
    <w:rsid w:val="00493CE0"/>
    <w:rsid w:val="004C36F5"/>
    <w:rsid w:val="004C620B"/>
    <w:rsid w:val="004D7028"/>
    <w:rsid w:val="004E7AA8"/>
    <w:rsid w:val="00523B1E"/>
    <w:rsid w:val="0052632B"/>
    <w:rsid w:val="00533A11"/>
    <w:rsid w:val="005438D1"/>
    <w:rsid w:val="00545D1F"/>
    <w:rsid w:val="00547EE6"/>
    <w:rsid w:val="00553A20"/>
    <w:rsid w:val="0055756D"/>
    <w:rsid w:val="00577291"/>
    <w:rsid w:val="00584A30"/>
    <w:rsid w:val="005A23FC"/>
    <w:rsid w:val="005A3169"/>
    <w:rsid w:val="005B33FE"/>
    <w:rsid w:val="005B451E"/>
    <w:rsid w:val="005B61B3"/>
    <w:rsid w:val="005E1B32"/>
    <w:rsid w:val="006018EC"/>
    <w:rsid w:val="0060279F"/>
    <w:rsid w:val="0061779A"/>
    <w:rsid w:val="006341FB"/>
    <w:rsid w:val="00636A0A"/>
    <w:rsid w:val="00641B3B"/>
    <w:rsid w:val="0067730A"/>
    <w:rsid w:val="006873E2"/>
    <w:rsid w:val="006B5782"/>
    <w:rsid w:val="006B5861"/>
    <w:rsid w:val="006B5C9E"/>
    <w:rsid w:val="006E1AB1"/>
    <w:rsid w:val="006F2918"/>
    <w:rsid w:val="00711682"/>
    <w:rsid w:val="00712D7B"/>
    <w:rsid w:val="007153D5"/>
    <w:rsid w:val="007475B3"/>
    <w:rsid w:val="00752116"/>
    <w:rsid w:val="00757255"/>
    <w:rsid w:val="00763A07"/>
    <w:rsid w:val="00764966"/>
    <w:rsid w:val="00786A75"/>
    <w:rsid w:val="00791C63"/>
    <w:rsid w:val="00797AB8"/>
    <w:rsid w:val="007C1D4C"/>
    <w:rsid w:val="007D3EDE"/>
    <w:rsid w:val="007D59F1"/>
    <w:rsid w:val="007D7A18"/>
    <w:rsid w:val="007F052B"/>
    <w:rsid w:val="007F3EB9"/>
    <w:rsid w:val="007F45A1"/>
    <w:rsid w:val="007F50C4"/>
    <w:rsid w:val="007F5280"/>
    <w:rsid w:val="00815C1E"/>
    <w:rsid w:val="0082535F"/>
    <w:rsid w:val="00831DB9"/>
    <w:rsid w:val="00831F95"/>
    <w:rsid w:val="00845DA8"/>
    <w:rsid w:val="00855710"/>
    <w:rsid w:val="00855779"/>
    <w:rsid w:val="0086591E"/>
    <w:rsid w:val="008729F7"/>
    <w:rsid w:val="00880BD7"/>
    <w:rsid w:val="008824E7"/>
    <w:rsid w:val="00887A24"/>
    <w:rsid w:val="00891C57"/>
    <w:rsid w:val="0089484A"/>
    <w:rsid w:val="008A4672"/>
    <w:rsid w:val="008B40B1"/>
    <w:rsid w:val="008C66D8"/>
    <w:rsid w:val="008D42ED"/>
    <w:rsid w:val="008E4321"/>
    <w:rsid w:val="008E6039"/>
    <w:rsid w:val="008F7344"/>
    <w:rsid w:val="00900E4D"/>
    <w:rsid w:val="009518E3"/>
    <w:rsid w:val="009530EB"/>
    <w:rsid w:val="00953AB5"/>
    <w:rsid w:val="009617BF"/>
    <w:rsid w:val="0096320E"/>
    <w:rsid w:val="00967C23"/>
    <w:rsid w:val="00971F33"/>
    <w:rsid w:val="009D45EB"/>
    <w:rsid w:val="009D71E7"/>
    <w:rsid w:val="009E4C62"/>
    <w:rsid w:val="009E7F23"/>
    <w:rsid w:val="00A15123"/>
    <w:rsid w:val="00A2589B"/>
    <w:rsid w:val="00A26003"/>
    <w:rsid w:val="00A32107"/>
    <w:rsid w:val="00A34924"/>
    <w:rsid w:val="00A5149D"/>
    <w:rsid w:val="00A56DAF"/>
    <w:rsid w:val="00A67427"/>
    <w:rsid w:val="00A750F2"/>
    <w:rsid w:val="00A764E1"/>
    <w:rsid w:val="00A77EC7"/>
    <w:rsid w:val="00AB3F0C"/>
    <w:rsid w:val="00AD2A65"/>
    <w:rsid w:val="00AF3D12"/>
    <w:rsid w:val="00AF763B"/>
    <w:rsid w:val="00B2551F"/>
    <w:rsid w:val="00B30278"/>
    <w:rsid w:val="00B36D9C"/>
    <w:rsid w:val="00B3703B"/>
    <w:rsid w:val="00B429AA"/>
    <w:rsid w:val="00B429D1"/>
    <w:rsid w:val="00B540D6"/>
    <w:rsid w:val="00B6260F"/>
    <w:rsid w:val="00B65EDB"/>
    <w:rsid w:val="00B669A6"/>
    <w:rsid w:val="00B71FBB"/>
    <w:rsid w:val="00B77C84"/>
    <w:rsid w:val="00B812AB"/>
    <w:rsid w:val="00B86192"/>
    <w:rsid w:val="00BA2B8D"/>
    <w:rsid w:val="00BE2E59"/>
    <w:rsid w:val="00BF6990"/>
    <w:rsid w:val="00C2755E"/>
    <w:rsid w:val="00C30171"/>
    <w:rsid w:val="00C34235"/>
    <w:rsid w:val="00C46BCD"/>
    <w:rsid w:val="00C474A0"/>
    <w:rsid w:val="00C80021"/>
    <w:rsid w:val="00CC3546"/>
    <w:rsid w:val="00CD3A43"/>
    <w:rsid w:val="00CE3F9E"/>
    <w:rsid w:val="00CE6769"/>
    <w:rsid w:val="00D175D9"/>
    <w:rsid w:val="00D21CDF"/>
    <w:rsid w:val="00D27E98"/>
    <w:rsid w:val="00D471BA"/>
    <w:rsid w:val="00D62292"/>
    <w:rsid w:val="00D82077"/>
    <w:rsid w:val="00D87116"/>
    <w:rsid w:val="00DA59F8"/>
    <w:rsid w:val="00DB4097"/>
    <w:rsid w:val="00DC084E"/>
    <w:rsid w:val="00DC227C"/>
    <w:rsid w:val="00DC246A"/>
    <w:rsid w:val="00DD5730"/>
    <w:rsid w:val="00DF441A"/>
    <w:rsid w:val="00DF48BE"/>
    <w:rsid w:val="00E443E4"/>
    <w:rsid w:val="00E45206"/>
    <w:rsid w:val="00E515A3"/>
    <w:rsid w:val="00E61583"/>
    <w:rsid w:val="00EA6B29"/>
    <w:rsid w:val="00EC37A8"/>
    <w:rsid w:val="00ED223C"/>
    <w:rsid w:val="00F11236"/>
    <w:rsid w:val="00F12E38"/>
    <w:rsid w:val="00F25A73"/>
    <w:rsid w:val="00F32C02"/>
    <w:rsid w:val="00F33906"/>
    <w:rsid w:val="00F376DD"/>
    <w:rsid w:val="00F43475"/>
    <w:rsid w:val="00F7099F"/>
    <w:rsid w:val="00F74381"/>
    <w:rsid w:val="00F86865"/>
    <w:rsid w:val="00F96D02"/>
    <w:rsid w:val="00FC1C5C"/>
    <w:rsid w:val="00FC45F8"/>
    <w:rsid w:val="00FF101A"/>
    <w:rsid w:val="00FF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10DB8"/>
  <w15:docId w15:val="{776D50E9-87C9-4353-B515-6F461E3B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75B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675B0"/>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675B0"/>
    <w:rPr>
      <w:rFonts w:ascii="Times New Roman" w:eastAsia="Times New Roman" w:hAnsi="Times New Roman" w:cs="Times New Roman"/>
      <w:b/>
      <w:sz w:val="28"/>
      <w:szCs w:val="24"/>
    </w:rPr>
  </w:style>
  <w:style w:type="paragraph" w:styleId="Pagrindinistekstas">
    <w:name w:val="Body Text"/>
    <w:basedOn w:val="prastasis"/>
    <w:link w:val="PagrindinistekstasDiagrama"/>
    <w:rsid w:val="001675B0"/>
    <w:pPr>
      <w:jc w:val="both"/>
    </w:pPr>
    <w:rPr>
      <w:szCs w:val="20"/>
    </w:rPr>
  </w:style>
  <w:style w:type="character" w:customStyle="1" w:styleId="PagrindinistekstasDiagrama">
    <w:name w:val="Pagrindinis tekstas Diagrama"/>
    <w:basedOn w:val="Numatytasispastraiposriftas"/>
    <w:link w:val="Pagrindinistekstas"/>
    <w:rsid w:val="001675B0"/>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7D3EDE"/>
    <w:pPr>
      <w:tabs>
        <w:tab w:val="center" w:pos="4819"/>
        <w:tab w:val="right" w:pos="9638"/>
      </w:tabs>
    </w:pPr>
  </w:style>
  <w:style w:type="character" w:customStyle="1" w:styleId="AntratsDiagrama">
    <w:name w:val="Antraštės Diagrama"/>
    <w:basedOn w:val="Numatytasispastraiposriftas"/>
    <w:link w:val="Antrats"/>
    <w:uiPriority w:val="99"/>
    <w:rsid w:val="007D3ED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D3EDE"/>
    <w:pPr>
      <w:tabs>
        <w:tab w:val="center" w:pos="4819"/>
        <w:tab w:val="right" w:pos="9638"/>
      </w:tabs>
    </w:pPr>
  </w:style>
  <w:style w:type="character" w:customStyle="1" w:styleId="PoratDiagrama">
    <w:name w:val="Poraštė Diagrama"/>
    <w:basedOn w:val="Numatytasispastraiposriftas"/>
    <w:link w:val="Porat"/>
    <w:uiPriority w:val="99"/>
    <w:rsid w:val="007D3EDE"/>
    <w:rPr>
      <w:rFonts w:ascii="Times New Roman" w:eastAsia="Times New Roman" w:hAnsi="Times New Roman" w:cs="Times New Roman"/>
      <w:sz w:val="24"/>
      <w:szCs w:val="24"/>
    </w:rPr>
  </w:style>
  <w:style w:type="paragraph" w:customStyle="1" w:styleId="Default">
    <w:name w:val="Default"/>
    <w:rsid w:val="00636A0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636A0A"/>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75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0279F"/>
    <w:pPr>
      <w:ind w:left="720"/>
      <w:contextualSpacing/>
    </w:pPr>
  </w:style>
  <w:style w:type="paragraph" w:styleId="Debesliotekstas">
    <w:name w:val="Balloon Text"/>
    <w:basedOn w:val="prastasis"/>
    <w:link w:val="DebesliotekstasDiagrama"/>
    <w:uiPriority w:val="99"/>
    <w:semiHidden/>
    <w:unhideWhenUsed/>
    <w:rsid w:val="005E1B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B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474176">
      <w:bodyDiv w:val="1"/>
      <w:marLeft w:val="0"/>
      <w:marRight w:val="0"/>
      <w:marTop w:val="0"/>
      <w:marBottom w:val="0"/>
      <w:divBdr>
        <w:top w:val="none" w:sz="0" w:space="0" w:color="auto"/>
        <w:left w:val="none" w:sz="0" w:space="0" w:color="auto"/>
        <w:bottom w:val="none" w:sz="0" w:space="0" w:color="auto"/>
        <w:right w:val="none" w:sz="0" w:space="0" w:color="auto"/>
      </w:divBdr>
    </w:div>
    <w:div w:id="20558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E5433-CDCD-43C8-8413-14A3E38C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2144</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2017-12-11T07:50:00Z</cp:lastPrinted>
  <dcterms:created xsi:type="dcterms:W3CDTF">2017-12-18T07:58:00Z</dcterms:created>
  <dcterms:modified xsi:type="dcterms:W3CDTF">2017-12-22T08:08:00Z</dcterms:modified>
</cp:coreProperties>
</file>