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4E" w:rsidRDefault="00CC2DAB" w:rsidP="006F6E43">
      <w:pPr>
        <w:tabs>
          <w:tab w:val="left" w:pos="1276"/>
        </w:tabs>
        <w:rPr>
          <w:szCs w:val="24"/>
          <w:lang w:eastAsia="lt-LT"/>
        </w:rPr>
      </w:pPr>
      <w:r>
        <w:t xml:space="preserve">                                                                                       </w:t>
      </w:r>
      <w:r w:rsidR="00986B4E">
        <w:rPr>
          <w:szCs w:val="24"/>
          <w:lang w:eastAsia="lt-LT"/>
        </w:rPr>
        <w:t>PATVIRTINTA</w:t>
      </w:r>
    </w:p>
    <w:p w:rsidR="00986B4E" w:rsidRDefault="006F6E43" w:rsidP="006F6E43">
      <w:pPr>
        <w:tabs>
          <w:tab w:val="left" w:pos="1276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760E25">
        <w:rPr>
          <w:szCs w:val="24"/>
          <w:lang w:eastAsia="lt-LT"/>
        </w:rPr>
        <w:t>Kretingos</w:t>
      </w:r>
      <w:r w:rsidR="00986B4E">
        <w:rPr>
          <w:szCs w:val="24"/>
          <w:lang w:eastAsia="lt-LT"/>
        </w:rPr>
        <w:t xml:space="preserve"> rajono savivaldybės tarybos</w:t>
      </w:r>
    </w:p>
    <w:p w:rsidR="00986B4E" w:rsidRDefault="006F6E43" w:rsidP="006F6E43">
      <w:pPr>
        <w:tabs>
          <w:tab w:val="left" w:pos="1276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88533F">
        <w:rPr>
          <w:szCs w:val="24"/>
          <w:lang w:eastAsia="lt-LT"/>
        </w:rPr>
        <w:t xml:space="preserve">2017 m. kovo </w:t>
      </w:r>
      <w:r w:rsidR="00A20C80">
        <w:rPr>
          <w:szCs w:val="24"/>
          <w:lang w:eastAsia="lt-LT"/>
        </w:rPr>
        <w:t>30</w:t>
      </w:r>
      <w:r w:rsidR="0088533F">
        <w:rPr>
          <w:szCs w:val="24"/>
          <w:lang w:eastAsia="lt-LT"/>
        </w:rPr>
        <w:t xml:space="preserve"> </w:t>
      </w:r>
      <w:r w:rsidR="00760E25">
        <w:rPr>
          <w:szCs w:val="24"/>
          <w:lang w:eastAsia="lt-LT"/>
        </w:rPr>
        <w:t>d. sprendimu Nr. T</w:t>
      </w:r>
      <w:r w:rsidR="00A20C80">
        <w:rPr>
          <w:szCs w:val="24"/>
          <w:lang w:eastAsia="lt-LT"/>
        </w:rPr>
        <w:t>2</w:t>
      </w:r>
      <w:r w:rsidR="00760E25">
        <w:rPr>
          <w:szCs w:val="24"/>
          <w:lang w:eastAsia="lt-LT"/>
        </w:rPr>
        <w:t>-</w:t>
      </w:r>
      <w:r>
        <w:rPr>
          <w:szCs w:val="24"/>
          <w:lang w:eastAsia="lt-LT"/>
        </w:rPr>
        <w:t>83</w:t>
      </w:r>
    </w:p>
    <w:p w:rsidR="00986B4E" w:rsidRDefault="00986B4E" w:rsidP="00986B4E">
      <w:pPr>
        <w:tabs>
          <w:tab w:val="left" w:pos="1276"/>
        </w:tabs>
        <w:spacing w:line="276" w:lineRule="auto"/>
        <w:jc w:val="center"/>
        <w:rPr>
          <w:b/>
          <w:szCs w:val="24"/>
          <w:lang w:eastAsia="lt-LT"/>
        </w:rPr>
      </w:pPr>
    </w:p>
    <w:p w:rsidR="00A20C80" w:rsidRDefault="00A20C80" w:rsidP="00986B4E">
      <w:pPr>
        <w:tabs>
          <w:tab w:val="left" w:pos="1276"/>
        </w:tabs>
        <w:spacing w:line="276" w:lineRule="auto"/>
        <w:jc w:val="center"/>
        <w:rPr>
          <w:b/>
          <w:szCs w:val="24"/>
          <w:lang w:eastAsia="lt-LT"/>
        </w:rPr>
      </w:pPr>
    </w:p>
    <w:p w:rsidR="00986B4E" w:rsidRDefault="00521E19" w:rsidP="00986B4E">
      <w:pPr>
        <w:tabs>
          <w:tab w:val="left" w:pos="1276"/>
        </w:tabs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KRETINGOS RAJONO SAVIVALDYBĖS </w:t>
      </w:r>
      <w:r w:rsidR="00986B4E">
        <w:rPr>
          <w:b/>
          <w:szCs w:val="24"/>
          <w:lang w:eastAsia="lt-LT"/>
        </w:rPr>
        <w:t>BIUD</w:t>
      </w:r>
      <w:r>
        <w:rPr>
          <w:b/>
          <w:szCs w:val="24"/>
          <w:lang w:eastAsia="lt-LT"/>
        </w:rPr>
        <w:t>ŽETINIŲ ĮSTAIGŲ</w:t>
      </w:r>
      <w:r w:rsidR="00986B4E">
        <w:rPr>
          <w:b/>
          <w:szCs w:val="24"/>
          <w:lang w:eastAsia="lt-LT"/>
        </w:rPr>
        <w:t xml:space="preserve"> VADOVŲ </w:t>
      </w:r>
      <w:r>
        <w:rPr>
          <w:b/>
          <w:szCs w:val="24"/>
          <w:lang w:eastAsia="lt-LT"/>
        </w:rPr>
        <w:t xml:space="preserve">DARBO APMOKĖJIMO </w:t>
      </w:r>
      <w:r w:rsidR="00E70241">
        <w:rPr>
          <w:b/>
          <w:szCs w:val="24"/>
          <w:lang w:eastAsia="lt-LT"/>
        </w:rPr>
        <w:t>TVARKOS</w:t>
      </w:r>
      <w:r>
        <w:rPr>
          <w:b/>
          <w:szCs w:val="24"/>
          <w:lang w:eastAsia="lt-LT"/>
        </w:rPr>
        <w:t xml:space="preserve"> APRAŠAS</w:t>
      </w:r>
    </w:p>
    <w:p w:rsidR="00986B4E" w:rsidRDefault="00986B4E" w:rsidP="00986B4E">
      <w:pPr>
        <w:tabs>
          <w:tab w:val="left" w:pos="1276"/>
        </w:tabs>
        <w:spacing w:line="276" w:lineRule="auto"/>
        <w:ind w:left="283" w:hanging="270"/>
        <w:rPr>
          <w:szCs w:val="24"/>
          <w:lang w:eastAsia="lt-LT"/>
        </w:rPr>
      </w:pPr>
    </w:p>
    <w:p w:rsidR="00986B4E" w:rsidRDefault="00986B4E" w:rsidP="00986B4E">
      <w:pPr>
        <w:spacing w:line="276" w:lineRule="auto"/>
        <w:ind w:left="13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986B4E" w:rsidRDefault="00986B4E" w:rsidP="00986B4E">
      <w:pPr>
        <w:spacing w:line="276" w:lineRule="auto"/>
        <w:ind w:left="13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:rsidR="00986B4E" w:rsidRDefault="00986B4E" w:rsidP="00986B4E">
      <w:pPr>
        <w:spacing w:line="276" w:lineRule="auto"/>
        <w:ind w:left="733"/>
        <w:jc w:val="both"/>
        <w:rPr>
          <w:b/>
          <w:szCs w:val="24"/>
          <w:lang w:eastAsia="lt-LT"/>
        </w:rPr>
      </w:pPr>
    </w:p>
    <w:p w:rsidR="00986B4E" w:rsidRDefault="00986B4E" w:rsidP="00986B4E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</w:r>
      <w:r w:rsidR="00B14462">
        <w:rPr>
          <w:szCs w:val="24"/>
          <w:lang w:eastAsia="lt-LT"/>
        </w:rPr>
        <w:t xml:space="preserve">Kretingos rajono savivaldybės biudžetinių įstaigų </w:t>
      </w:r>
      <w:r>
        <w:rPr>
          <w:szCs w:val="24"/>
          <w:lang w:eastAsia="lt-LT"/>
        </w:rPr>
        <w:t>vadovų (toliau –</w:t>
      </w:r>
      <w:r w:rsidR="00BC3C9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įstaigos v</w:t>
      </w:r>
      <w:r w:rsidR="00E85260">
        <w:rPr>
          <w:szCs w:val="24"/>
          <w:lang w:eastAsia="lt-LT"/>
        </w:rPr>
        <w:t>adovai</w:t>
      </w:r>
      <w:r w:rsidR="00B14462">
        <w:rPr>
          <w:szCs w:val="24"/>
          <w:lang w:eastAsia="lt-LT"/>
        </w:rPr>
        <w:t xml:space="preserve">) darbo apmokėjimo </w:t>
      </w:r>
      <w:r w:rsidR="00E70241">
        <w:rPr>
          <w:szCs w:val="24"/>
          <w:lang w:eastAsia="lt-LT"/>
        </w:rPr>
        <w:t>tvarkos</w:t>
      </w:r>
      <w:r w:rsidR="00B14462">
        <w:rPr>
          <w:szCs w:val="24"/>
          <w:lang w:eastAsia="lt-LT"/>
        </w:rPr>
        <w:t xml:space="preserve"> aprašas (toliau – </w:t>
      </w:r>
      <w:r w:rsidR="00E70241">
        <w:rPr>
          <w:szCs w:val="24"/>
          <w:lang w:eastAsia="lt-LT"/>
        </w:rPr>
        <w:t>tvarkos</w:t>
      </w:r>
      <w:r w:rsidR="00B14462">
        <w:rPr>
          <w:szCs w:val="24"/>
          <w:lang w:eastAsia="lt-LT"/>
        </w:rPr>
        <w:t xml:space="preserve"> aprašas</w:t>
      </w:r>
      <w:r w:rsidR="00BC3C9B">
        <w:rPr>
          <w:szCs w:val="24"/>
          <w:lang w:eastAsia="lt-LT"/>
        </w:rPr>
        <w:t xml:space="preserve">) nustato </w:t>
      </w:r>
      <w:r>
        <w:rPr>
          <w:szCs w:val="24"/>
          <w:lang w:eastAsia="lt-LT"/>
        </w:rPr>
        <w:t>įstaigų vadovų pareiginės algos pastoviosios dalies koeficiento nustatymo  kriterijus,</w:t>
      </w:r>
      <w:r w:rsidR="00B14462">
        <w:rPr>
          <w:szCs w:val="24"/>
          <w:lang w:eastAsia="lt-LT"/>
        </w:rPr>
        <w:t xml:space="preserve"> </w:t>
      </w:r>
      <w:r w:rsidR="00A94B6F">
        <w:rPr>
          <w:szCs w:val="24"/>
          <w:lang w:eastAsia="lt-LT"/>
        </w:rPr>
        <w:t>pareiginės algos pastoviosios dalies koeficiento  didinimo kriterijus,</w:t>
      </w:r>
      <w:r>
        <w:rPr>
          <w:szCs w:val="24"/>
          <w:lang w:eastAsia="lt-LT"/>
        </w:rPr>
        <w:t xml:space="preserve">  kintamosios dalies, priemokų ir premijų mokėjimo tvarką ir sąlygas. </w:t>
      </w:r>
    </w:p>
    <w:p w:rsidR="00986B4E" w:rsidRDefault="00AD7FB0" w:rsidP="00986B4E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Ši</w:t>
      </w:r>
      <w:r w:rsidR="007C1B91" w:rsidRPr="007C1B91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</w:t>
      </w:r>
      <w:r w:rsidR="0028665A">
        <w:rPr>
          <w:szCs w:val="24"/>
          <w:lang w:eastAsia="lt-LT"/>
        </w:rPr>
        <w:t>tvarkos</w:t>
      </w:r>
      <w:r>
        <w:rPr>
          <w:szCs w:val="24"/>
          <w:lang w:eastAsia="lt-LT"/>
        </w:rPr>
        <w:t xml:space="preserve"> aprašas</w:t>
      </w:r>
      <w:r w:rsidR="00986B4E">
        <w:rPr>
          <w:szCs w:val="24"/>
          <w:lang w:eastAsia="lt-LT"/>
        </w:rPr>
        <w:t xml:space="preserve"> parengta</w:t>
      </w:r>
      <w:r w:rsidR="00F26308">
        <w:rPr>
          <w:szCs w:val="24"/>
          <w:lang w:eastAsia="lt-LT"/>
        </w:rPr>
        <w:t>s</w:t>
      </w:r>
      <w:r w:rsidR="00986B4E">
        <w:rPr>
          <w:szCs w:val="24"/>
          <w:lang w:eastAsia="lt-LT"/>
        </w:rPr>
        <w:t xml:space="preserve"> vadovaujantis Lietuvos Respublikos valstybės ir savivaldybių įstaigų darbuotojų darbo apmokėjimo įstatymu (toliau – įstatymas) ir taikoma tiek, kiek to nereglamentuoja kiti atskirų sričių biudžetinių įstaigų veiklą reglamentuojantys įstatymai.</w:t>
      </w:r>
    </w:p>
    <w:p w:rsidR="00986B4E" w:rsidRDefault="00986B4E" w:rsidP="00986B4E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Pagal įstatymo nuostatas nustatyta įstaigos vadovo pareiginė alga (pastovioji dalis kartu su kintamąja dalimi) negali viršyti praėjusio ketvirčio biudžetinės įstaigos darbuotojų 5 vidutinių pareiginių algų (pastoviųjų dalių kartu su kintamosiomis dalimis).</w:t>
      </w:r>
    </w:p>
    <w:p w:rsidR="00986B4E" w:rsidRDefault="00986B4E" w:rsidP="00986B4E">
      <w:pPr>
        <w:spacing w:line="276" w:lineRule="auto"/>
        <w:jc w:val="center"/>
        <w:rPr>
          <w:b/>
          <w:szCs w:val="24"/>
          <w:lang w:eastAsia="lt-LT"/>
        </w:rPr>
      </w:pPr>
    </w:p>
    <w:p w:rsidR="00986B4E" w:rsidRDefault="00986B4E" w:rsidP="00986B4E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986B4E" w:rsidRDefault="00986B4E" w:rsidP="00986B4E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PAREIGINĖS ALGOS PASTOVIOSIOS DALIES NUSTATYMO KRITERIJAI</w:t>
      </w:r>
    </w:p>
    <w:p w:rsidR="00986B4E" w:rsidRDefault="00986B4E" w:rsidP="00986B4E">
      <w:pPr>
        <w:spacing w:line="276" w:lineRule="auto"/>
        <w:ind w:left="993"/>
        <w:jc w:val="both"/>
        <w:rPr>
          <w:szCs w:val="24"/>
          <w:lang w:eastAsia="lt-LT"/>
        </w:rPr>
      </w:pPr>
    </w:p>
    <w:p w:rsidR="007B71D6" w:rsidRDefault="008131DC" w:rsidP="007B71D6">
      <w:pPr>
        <w:tabs>
          <w:tab w:val="left" w:pos="1276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986B4E">
        <w:rPr>
          <w:szCs w:val="24"/>
          <w:lang w:eastAsia="lt-LT"/>
        </w:rPr>
        <w:t>. Švietimo įstaigų vadovų algos pastovioji dalis nu</w:t>
      </w:r>
      <w:r w:rsidR="00962EE8">
        <w:rPr>
          <w:szCs w:val="24"/>
          <w:lang w:eastAsia="lt-LT"/>
        </w:rPr>
        <w:t>statoma pagal įstat</w:t>
      </w:r>
      <w:r w:rsidR="00E85260">
        <w:rPr>
          <w:szCs w:val="24"/>
          <w:lang w:eastAsia="lt-LT"/>
        </w:rPr>
        <w:t xml:space="preserve">ymo 5 priedą </w:t>
      </w:r>
      <w:r w:rsidR="00986B4E">
        <w:rPr>
          <w:szCs w:val="24"/>
          <w:lang w:eastAsia="lt-LT"/>
        </w:rPr>
        <w:t xml:space="preserve"> atsižvelgiant į mokinių arba grupių skaičių, pedagoginio darbo stažą ir turimą va</w:t>
      </w:r>
      <w:r w:rsidR="00E85260">
        <w:rPr>
          <w:szCs w:val="24"/>
          <w:lang w:eastAsia="lt-LT"/>
        </w:rPr>
        <w:t>dybinę kvalifikacinę kategoriją.</w:t>
      </w:r>
      <w:r w:rsidR="00986B4E">
        <w:rPr>
          <w:szCs w:val="24"/>
          <w:lang w:eastAsia="lt-LT"/>
        </w:rPr>
        <w:t xml:space="preserve"> </w:t>
      </w:r>
      <w:r w:rsidR="007B71D6">
        <w:rPr>
          <w:szCs w:val="24"/>
          <w:lang w:eastAsia="lt-LT"/>
        </w:rPr>
        <w:t xml:space="preserve">Pareiginės algos pastoviosios dalies koeficientą </w:t>
      </w:r>
      <w:r w:rsidR="00705852">
        <w:rPr>
          <w:szCs w:val="24"/>
          <w:lang w:eastAsia="lt-LT"/>
        </w:rPr>
        <w:t xml:space="preserve">švietimo </w:t>
      </w:r>
      <w:r w:rsidR="007B71D6">
        <w:rPr>
          <w:szCs w:val="24"/>
          <w:lang w:eastAsia="lt-LT"/>
        </w:rPr>
        <w:t>įstaigos vadovui nustato Savivaldybės  taryba</w:t>
      </w:r>
      <w:r w:rsidR="007C3ACA">
        <w:rPr>
          <w:szCs w:val="24"/>
          <w:lang w:eastAsia="lt-LT"/>
        </w:rPr>
        <w:t>.</w:t>
      </w:r>
    </w:p>
    <w:p w:rsidR="00986B4E" w:rsidRDefault="007C3ACA" w:rsidP="007C3ACA">
      <w:pPr>
        <w:tabs>
          <w:tab w:val="left" w:pos="1276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5. </w:t>
      </w:r>
      <w:r w:rsidR="00E85260">
        <w:rPr>
          <w:szCs w:val="24"/>
          <w:lang w:eastAsia="lt-LT"/>
        </w:rPr>
        <w:t>K</w:t>
      </w:r>
      <w:r w:rsidR="00986B4E">
        <w:rPr>
          <w:szCs w:val="24"/>
          <w:lang w:eastAsia="lt-LT"/>
        </w:rPr>
        <w:t>itų</w:t>
      </w:r>
      <w:r w:rsidR="00963D7A">
        <w:rPr>
          <w:szCs w:val="24"/>
          <w:lang w:eastAsia="lt-LT"/>
        </w:rPr>
        <w:t xml:space="preserve"> biudžetinių įstaigų</w:t>
      </w:r>
      <w:r w:rsidR="00986B4E">
        <w:rPr>
          <w:szCs w:val="24"/>
          <w:lang w:eastAsia="lt-LT"/>
        </w:rPr>
        <w:t xml:space="preserve"> vadovų pareiginės algos pastovioji dalis nustatoma pagal įstatymo 1 priedą, atsižvelgiant į įstaigos grupę ir vadovaujamo darbo patirtį. </w:t>
      </w:r>
      <w:r w:rsidR="00E85260">
        <w:rPr>
          <w:szCs w:val="24"/>
          <w:lang w:eastAsia="lt-LT"/>
        </w:rPr>
        <w:t>Pareiginės algos p</w:t>
      </w:r>
      <w:r w:rsidR="00944CEE">
        <w:rPr>
          <w:szCs w:val="24"/>
          <w:lang w:eastAsia="lt-LT"/>
        </w:rPr>
        <w:t>astoviosios dalies koeficientą</w:t>
      </w:r>
      <w:r w:rsidR="00986B4E">
        <w:rPr>
          <w:szCs w:val="24"/>
          <w:lang w:eastAsia="lt-LT"/>
        </w:rPr>
        <w:t xml:space="preserve"> įstaigos vadovui nustato</w:t>
      </w:r>
      <w:r>
        <w:rPr>
          <w:szCs w:val="24"/>
          <w:lang w:eastAsia="lt-LT"/>
        </w:rPr>
        <w:t xml:space="preserve"> Savivaldybės  meras</w:t>
      </w:r>
      <w:r w:rsidR="00962EE8">
        <w:rPr>
          <w:szCs w:val="24"/>
          <w:lang w:eastAsia="lt-LT"/>
        </w:rPr>
        <w:t>.</w:t>
      </w:r>
    </w:p>
    <w:p w:rsidR="00986B4E" w:rsidRDefault="00963D7A" w:rsidP="00986B4E">
      <w:pPr>
        <w:tabs>
          <w:tab w:val="left" w:pos="720"/>
        </w:tabs>
        <w:suppressAutoHyphens/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</w:t>
      </w:r>
      <w:r w:rsidR="00986B4E">
        <w:rPr>
          <w:szCs w:val="24"/>
          <w:lang w:eastAsia="zh-CN"/>
        </w:rPr>
        <w:t>. Įstaigos vadovams nustatyti pareiginės algos pastoviosios dalies koeficientai gali būti didinami:</w:t>
      </w:r>
    </w:p>
    <w:p w:rsidR="00986B4E" w:rsidRDefault="00963D7A" w:rsidP="00986B4E">
      <w:pPr>
        <w:tabs>
          <w:tab w:val="left" w:pos="720"/>
        </w:tabs>
        <w:suppressAutoHyphens/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</w:t>
      </w:r>
      <w:r w:rsidR="00986B4E">
        <w:rPr>
          <w:szCs w:val="24"/>
          <w:lang w:eastAsia="zh-CN"/>
        </w:rPr>
        <w:t>.1. atsižvelgia</w:t>
      </w:r>
      <w:r w:rsidR="00F25B23">
        <w:rPr>
          <w:szCs w:val="24"/>
          <w:lang w:eastAsia="zh-CN"/>
        </w:rPr>
        <w:t>nt į veiklos sudėtingumą – iki 1 koeficiento</w:t>
      </w:r>
      <w:r w:rsidR="00986B4E">
        <w:rPr>
          <w:szCs w:val="24"/>
          <w:lang w:eastAsia="zh-CN"/>
        </w:rPr>
        <w:t>;</w:t>
      </w:r>
    </w:p>
    <w:p w:rsidR="00986B4E" w:rsidRDefault="00963D7A" w:rsidP="00986B4E">
      <w:pPr>
        <w:tabs>
          <w:tab w:val="left" w:pos="720"/>
        </w:tabs>
        <w:suppressAutoHyphens/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</w:t>
      </w:r>
      <w:r w:rsidR="00986B4E">
        <w:rPr>
          <w:szCs w:val="24"/>
          <w:lang w:eastAsia="zh-CN"/>
        </w:rPr>
        <w:t xml:space="preserve">.2. atsižvelgiant į darbo krūvį </w:t>
      </w:r>
      <w:r w:rsidR="00F25B23">
        <w:rPr>
          <w:szCs w:val="24"/>
          <w:lang w:eastAsia="zh-CN"/>
        </w:rPr>
        <w:t>(intensyvumas neviršijant nustatyto darbo laiko)</w:t>
      </w:r>
      <w:r w:rsidR="0004744E">
        <w:rPr>
          <w:szCs w:val="24"/>
          <w:lang w:eastAsia="zh-CN"/>
        </w:rPr>
        <w:t xml:space="preserve"> </w:t>
      </w:r>
      <w:r w:rsidR="00F25B23">
        <w:rPr>
          <w:szCs w:val="24"/>
          <w:lang w:eastAsia="zh-CN"/>
        </w:rPr>
        <w:t>– iki 1 koeficiento</w:t>
      </w:r>
      <w:r w:rsidR="00986B4E">
        <w:rPr>
          <w:szCs w:val="24"/>
          <w:lang w:eastAsia="zh-CN"/>
        </w:rPr>
        <w:t>;</w:t>
      </w:r>
    </w:p>
    <w:p w:rsidR="00986B4E" w:rsidRDefault="00963D7A" w:rsidP="00986B4E">
      <w:pPr>
        <w:tabs>
          <w:tab w:val="left" w:pos="720"/>
        </w:tabs>
        <w:suppressAutoHyphens/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</w:t>
      </w:r>
      <w:r w:rsidR="00986B4E">
        <w:rPr>
          <w:szCs w:val="24"/>
          <w:lang w:eastAsia="zh-CN"/>
        </w:rPr>
        <w:t xml:space="preserve">.3. atsižvelgiant į atsakomybės lygį – iki </w:t>
      </w:r>
      <w:r w:rsidR="00F25B23">
        <w:rPr>
          <w:szCs w:val="24"/>
          <w:lang w:eastAsia="zh-CN"/>
        </w:rPr>
        <w:t>2</w:t>
      </w:r>
      <w:r w:rsidR="000B6B5A">
        <w:rPr>
          <w:szCs w:val="24"/>
          <w:lang w:eastAsia="zh-CN"/>
        </w:rPr>
        <w:t xml:space="preserve"> koeficientų</w:t>
      </w:r>
      <w:r w:rsidR="00986B4E">
        <w:rPr>
          <w:szCs w:val="24"/>
          <w:lang w:eastAsia="zh-CN"/>
        </w:rPr>
        <w:t>;</w:t>
      </w:r>
    </w:p>
    <w:p w:rsidR="00986B4E" w:rsidRDefault="00963D7A" w:rsidP="00986B4E">
      <w:pPr>
        <w:tabs>
          <w:tab w:val="left" w:pos="720"/>
        </w:tabs>
        <w:suppressAutoHyphens/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</w:t>
      </w:r>
      <w:r w:rsidR="00986B4E">
        <w:rPr>
          <w:szCs w:val="24"/>
          <w:lang w:eastAsia="zh-CN"/>
        </w:rPr>
        <w:t>.4. atsižvelgiant į specialių žinių ir įgūdžių reikalingumą nustatytoms funkcijos atlikti, į darbo pobūdį, susijusį su riz</w:t>
      </w:r>
      <w:r w:rsidR="00F25B23">
        <w:rPr>
          <w:szCs w:val="24"/>
          <w:lang w:eastAsia="zh-CN"/>
        </w:rPr>
        <w:t>ika sveikatai ar gyvybei</w:t>
      </w:r>
      <w:r w:rsidR="0004744E">
        <w:rPr>
          <w:szCs w:val="24"/>
          <w:lang w:eastAsia="zh-CN"/>
        </w:rPr>
        <w:t>,</w:t>
      </w:r>
      <w:r w:rsidR="00F25B23">
        <w:rPr>
          <w:szCs w:val="24"/>
          <w:lang w:eastAsia="zh-CN"/>
        </w:rPr>
        <w:t xml:space="preserve"> – iki 2</w:t>
      </w:r>
      <w:r w:rsidR="00986B4E">
        <w:rPr>
          <w:szCs w:val="24"/>
          <w:lang w:eastAsia="zh-CN"/>
        </w:rPr>
        <w:t xml:space="preserve"> koeficientų.</w:t>
      </w:r>
    </w:p>
    <w:p w:rsidR="00986B4E" w:rsidRDefault="00963D7A" w:rsidP="00986B4E">
      <w:pPr>
        <w:tabs>
          <w:tab w:val="left" w:pos="720"/>
        </w:tabs>
        <w:suppressAutoHyphens/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7</w:t>
      </w:r>
      <w:r w:rsidR="00986B4E">
        <w:rPr>
          <w:szCs w:val="24"/>
          <w:lang w:eastAsia="zh-CN"/>
        </w:rPr>
        <w:t>. Atsižvel</w:t>
      </w:r>
      <w:r w:rsidR="008131DC">
        <w:rPr>
          <w:szCs w:val="24"/>
          <w:lang w:eastAsia="zh-CN"/>
        </w:rPr>
        <w:t>giant į biudžetinių metų Kretingos</w:t>
      </w:r>
      <w:r w:rsidR="00986B4E">
        <w:rPr>
          <w:szCs w:val="24"/>
          <w:lang w:eastAsia="zh-CN"/>
        </w:rPr>
        <w:t xml:space="preserve"> rajono savivaldybės (toliau – Savivaldybė) finansines galimybes ir Savivaldybės tarybos patvirtintą įstaigos darbo užmokesčio fondą, gali būti didinami įstaigos vadovams nustatyti pareiginės algos pastoviosios dalies koefi</w:t>
      </w:r>
      <w:r w:rsidR="00F057A4">
        <w:rPr>
          <w:szCs w:val="24"/>
          <w:lang w:eastAsia="zh-CN"/>
        </w:rPr>
        <w:t>c</w:t>
      </w:r>
      <w:r>
        <w:rPr>
          <w:szCs w:val="24"/>
          <w:lang w:eastAsia="zh-CN"/>
        </w:rPr>
        <w:t xml:space="preserve">ientai vadovaujantis </w:t>
      </w:r>
      <w:r w:rsidR="0028665A">
        <w:rPr>
          <w:szCs w:val="24"/>
          <w:lang w:eastAsia="zh-CN"/>
        </w:rPr>
        <w:t>tvarkos</w:t>
      </w:r>
      <w:r>
        <w:rPr>
          <w:szCs w:val="24"/>
          <w:lang w:eastAsia="zh-CN"/>
        </w:rPr>
        <w:t xml:space="preserve"> 6</w:t>
      </w:r>
      <w:r w:rsidR="00986B4E">
        <w:rPr>
          <w:szCs w:val="24"/>
          <w:lang w:eastAsia="zh-CN"/>
        </w:rPr>
        <w:t xml:space="preserve"> punkte nustatytais kriterijais.</w:t>
      </w:r>
    </w:p>
    <w:p w:rsidR="00986B4E" w:rsidRDefault="00963D7A" w:rsidP="00986B4E">
      <w:pPr>
        <w:tabs>
          <w:tab w:val="left" w:pos="1276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86B4E">
        <w:rPr>
          <w:szCs w:val="24"/>
          <w:lang w:eastAsia="lt-LT"/>
        </w:rPr>
        <w:t xml:space="preserve">. Įstaigos vadovas turi teisę pateikti Savivaldybės merui motyvuotą prašymą dėl pareiginės algos pastoviosios dalies koeficiento padidinimo. Prašyme nurodyti motyvai ir argumentacija turi </w:t>
      </w:r>
      <w:r w:rsidR="00986B4E">
        <w:rPr>
          <w:szCs w:val="24"/>
          <w:lang w:eastAsia="lt-LT"/>
        </w:rPr>
        <w:lastRenderedPageBreak/>
        <w:t xml:space="preserve">atitikti vieną iš kriterijų, nustatytų </w:t>
      </w:r>
      <w:r w:rsidR="0028665A">
        <w:rPr>
          <w:szCs w:val="24"/>
          <w:lang w:eastAsia="lt-LT"/>
        </w:rPr>
        <w:t>tvarkos</w:t>
      </w:r>
      <w:r>
        <w:rPr>
          <w:szCs w:val="24"/>
          <w:lang w:eastAsia="lt-LT"/>
        </w:rPr>
        <w:t xml:space="preserve"> aprašo 6</w:t>
      </w:r>
      <w:r w:rsidR="00986B4E">
        <w:rPr>
          <w:szCs w:val="24"/>
          <w:lang w:eastAsia="lt-LT"/>
        </w:rPr>
        <w:t xml:space="preserve"> punkte.  Prašymas privalo būti suderintas su veiklą koordinuojančio padalini</w:t>
      </w:r>
      <w:r w:rsidR="000B6B5A">
        <w:rPr>
          <w:szCs w:val="24"/>
          <w:lang w:eastAsia="lt-LT"/>
        </w:rPr>
        <w:t>o vadovu</w:t>
      </w:r>
      <w:r w:rsidR="00986B4E">
        <w:rPr>
          <w:szCs w:val="24"/>
          <w:lang w:eastAsia="lt-LT"/>
        </w:rPr>
        <w:t xml:space="preserve"> ir administracijos direktoriumi. </w:t>
      </w:r>
      <w:r w:rsidR="000B6B5A">
        <w:rPr>
          <w:szCs w:val="24"/>
          <w:lang w:eastAsia="lt-LT"/>
        </w:rPr>
        <w:t>Prašymas svarsto</w:t>
      </w:r>
      <w:r w:rsidR="000C7C1E">
        <w:rPr>
          <w:szCs w:val="24"/>
          <w:lang w:eastAsia="lt-LT"/>
        </w:rPr>
        <w:t>mas Savivaldybės administracijos direktoriaus įsakymu sudarytoje</w:t>
      </w:r>
      <w:r w:rsidR="000B6B5A">
        <w:rPr>
          <w:szCs w:val="24"/>
          <w:lang w:eastAsia="lt-LT"/>
        </w:rPr>
        <w:t xml:space="preserve"> komisijoje, kuri</w:t>
      </w:r>
      <w:r w:rsidR="00C52861">
        <w:rPr>
          <w:szCs w:val="24"/>
          <w:lang w:eastAsia="lt-LT"/>
        </w:rPr>
        <w:t xml:space="preserve"> įvertina </w:t>
      </w:r>
      <w:r w:rsidR="00986B4E">
        <w:rPr>
          <w:szCs w:val="24"/>
          <w:lang w:eastAsia="lt-LT"/>
        </w:rPr>
        <w:t>nurodytus moty</w:t>
      </w:r>
      <w:r w:rsidR="00C52861">
        <w:rPr>
          <w:szCs w:val="24"/>
          <w:lang w:eastAsia="lt-LT"/>
        </w:rPr>
        <w:t>vus bei argumentaciją</w:t>
      </w:r>
      <w:r w:rsidR="00986B4E">
        <w:rPr>
          <w:szCs w:val="24"/>
          <w:lang w:eastAsia="lt-LT"/>
        </w:rPr>
        <w:t xml:space="preserve"> </w:t>
      </w:r>
      <w:r w:rsidR="00C52861">
        <w:rPr>
          <w:szCs w:val="24"/>
          <w:lang w:eastAsia="lt-LT"/>
        </w:rPr>
        <w:t>ir pateikia rekomendaciją Savivaldybės merui</w:t>
      </w:r>
      <w:r w:rsidR="00774F8E">
        <w:rPr>
          <w:szCs w:val="24"/>
          <w:lang w:eastAsia="lt-LT"/>
        </w:rPr>
        <w:t>.</w:t>
      </w:r>
      <w:r w:rsidR="00986B4E">
        <w:rPr>
          <w:szCs w:val="24"/>
          <w:lang w:eastAsia="lt-LT"/>
        </w:rPr>
        <w:t xml:space="preserve"> </w:t>
      </w:r>
      <w:r w:rsidR="000C7C1E">
        <w:rPr>
          <w:szCs w:val="24"/>
          <w:lang w:eastAsia="lt-LT"/>
        </w:rPr>
        <w:t>Pareiginės algos p</w:t>
      </w:r>
      <w:r w:rsidR="00986B4E">
        <w:rPr>
          <w:szCs w:val="24"/>
          <w:lang w:eastAsia="lt-LT"/>
        </w:rPr>
        <w:t>astoviosios dalies koeficientas įstaigos vadov</w:t>
      </w:r>
      <w:r w:rsidR="00C52861">
        <w:rPr>
          <w:szCs w:val="24"/>
          <w:lang w:eastAsia="lt-LT"/>
        </w:rPr>
        <w:t>ui</w:t>
      </w:r>
      <w:r w:rsidR="0055647E">
        <w:rPr>
          <w:szCs w:val="24"/>
          <w:lang w:eastAsia="lt-LT"/>
        </w:rPr>
        <w:t xml:space="preserve"> negali viršyti </w:t>
      </w:r>
      <w:r w:rsidR="00802B9C">
        <w:rPr>
          <w:szCs w:val="24"/>
          <w:lang w:eastAsia="lt-LT"/>
        </w:rPr>
        <w:t>įstatyme nustatytų dydžių</w:t>
      </w:r>
      <w:r w:rsidR="003E2DB7">
        <w:rPr>
          <w:szCs w:val="24"/>
          <w:lang w:eastAsia="lt-LT"/>
        </w:rPr>
        <w:t>.</w:t>
      </w:r>
      <w:r w:rsidR="00802B9C">
        <w:rPr>
          <w:szCs w:val="24"/>
          <w:lang w:eastAsia="lt-LT"/>
        </w:rPr>
        <w:t xml:space="preserve"> </w:t>
      </w:r>
    </w:p>
    <w:p w:rsidR="00986B4E" w:rsidRDefault="00986B4E" w:rsidP="00986B4E">
      <w:pPr>
        <w:spacing w:line="276" w:lineRule="auto"/>
        <w:ind w:left="373"/>
        <w:rPr>
          <w:b/>
          <w:szCs w:val="24"/>
          <w:lang w:eastAsia="lt-LT"/>
        </w:rPr>
      </w:pPr>
    </w:p>
    <w:p w:rsidR="00986B4E" w:rsidRDefault="00986B4E" w:rsidP="00986B4E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:rsidR="00986B4E" w:rsidRDefault="00986B4E" w:rsidP="00986B4E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PAREIGINĖS ALGOS KINTAMOSIOS DALIES NUSTATYMO IR MOKĖJIMO TVARKA IR SĄLYGOS</w:t>
      </w:r>
    </w:p>
    <w:p w:rsidR="00986B4E" w:rsidRDefault="00986B4E" w:rsidP="00986B4E">
      <w:pPr>
        <w:tabs>
          <w:tab w:val="left" w:pos="1134"/>
        </w:tabs>
        <w:spacing w:line="276" w:lineRule="auto"/>
        <w:jc w:val="both"/>
        <w:rPr>
          <w:szCs w:val="24"/>
          <w:lang w:eastAsia="lt-LT"/>
        </w:rPr>
      </w:pPr>
    </w:p>
    <w:p w:rsidR="006F6E43" w:rsidRDefault="005E62BD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986B4E">
        <w:rPr>
          <w:szCs w:val="24"/>
          <w:lang w:eastAsia="lt-LT"/>
        </w:rPr>
        <w:t>. Įstaigų vadovai įstaigos veiklą organizuoja vadovaudamiesi teisės aktų</w:t>
      </w:r>
      <w:r w:rsidR="00CA392C">
        <w:rPr>
          <w:szCs w:val="24"/>
          <w:lang w:eastAsia="lt-LT"/>
        </w:rPr>
        <w:t xml:space="preserve"> nustatyta tvarka patvirtintais</w:t>
      </w:r>
      <w:r w:rsidR="00C52861">
        <w:rPr>
          <w:szCs w:val="24"/>
          <w:lang w:eastAsia="lt-LT"/>
        </w:rPr>
        <w:t xml:space="preserve"> </w:t>
      </w:r>
      <w:r w:rsidR="00986B4E">
        <w:rPr>
          <w:szCs w:val="24"/>
          <w:lang w:eastAsia="lt-LT"/>
        </w:rPr>
        <w:t xml:space="preserve">metiniais veiklos </w:t>
      </w:r>
      <w:r w:rsidR="00282F6F">
        <w:rPr>
          <w:szCs w:val="24"/>
          <w:lang w:eastAsia="lt-LT"/>
        </w:rPr>
        <w:t>planais (toliau – veiklos planai</w:t>
      </w:r>
      <w:r w:rsidR="00986B4E">
        <w:rPr>
          <w:szCs w:val="24"/>
          <w:lang w:eastAsia="lt-LT"/>
        </w:rPr>
        <w:t>).</w:t>
      </w:r>
    </w:p>
    <w:p w:rsidR="006F6E43" w:rsidRDefault="005E62BD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986B4E">
        <w:rPr>
          <w:szCs w:val="24"/>
          <w:lang w:eastAsia="lt-LT"/>
        </w:rPr>
        <w:t>. Nustatant kintamąją dalį vadovaujamasi praėjusiais metais įstaigos vadovo pasiektais rezultatais, kurie v</w:t>
      </w:r>
      <w:r w:rsidR="00CE28F9">
        <w:rPr>
          <w:szCs w:val="24"/>
          <w:lang w:eastAsia="lt-LT"/>
        </w:rPr>
        <w:t>ertinami pagal nustatytas metine</w:t>
      </w:r>
      <w:r w:rsidR="00986B4E">
        <w:rPr>
          <w:szCs w:val="24"/>
          <w:lang w:eastAsia="lt-LT"/>
        </w:rPr>
        <w:t>s užduotis, susijusias su įstaigos metinio veikl</w:t>
      </w:r>
      <w:r w:rsidR="00CA392C">
        <w:rPr>
          <w:szCs w:val="24"/>
          <w:lang w:eastAsia="lt-LT"/>
        </w:rPr>
        <w:t>os plano priemonėmis,</w:t>
      </w:r>
      <w:r w:rsidR="00986B4E">
        <w:rPr>
          <w:szCs w:val="24"/>
          <w:lang w:eastAsia="lt-LT"/>
        </w:rPr>
        <w:t xml:space="preserve"> su įstaigos vidaus administravimu bei veiklos efektyvumo didinimu. Siektinų rezultatų vertinimo rodikliai turi būti aiškūs ir leisti</w:t>
      </w:r>
      <w:r w:rsidR="007C1B91">
        <w:rPr>
          <w:szCs w:val="24"/>
          <w:lang w:eastAsia="lt-LT"/>
        </w:rPr>
        <w:t>ni</w:t>
      </w:r>
      <w:r w:rsidR="00986B4E">
        <w:rPr>
          <w:szCs w:val="24"/>
          <w:lang w:eastAsia="lt-LT"/>
        </w:rPr>
        <w:t xml:space="preserve"> įvertinti, ar pasiektas konkretus rezultatas, o jų reikšmės pamatuojamos, apskaičiuojamos, patikimos ir nesunkiai patikrinamos.</w:t>
      </w:r>
      <w:bookmarkStart w:id="0" w:name="_GoBack"/>
      <w:bookmarkEnd w:id="0"/>
      <w:r w:rsidR="00986B4E">
        <w:rPr>
          <w:szCs w:val="24"/>
          <w:lang w:eastAsia="lt-LT"/>
        </w:rPr>
        <w:t xml:space="preserve"> Vertinimas atl</w:t>
      </w:r>
      <w:r w:rsidR="00CA392C">
        <w:rPr>
          <w:szCs w:val="24"/>
          <w:lang w:eastAsia="lt-LT"/>
        </w:rPr>
        <w:t xml:space="preserve">iekamas kasmet </w:t>
      </w:r>
      <w:r w:rsidR="00BD036D">
        <w:rPr>
          <w:szCs w:val="24"/>
          <w:lang w:eastAsia="lt-LT"/>
        </w:rPr>
        <w:t xml:space="preserve">iki sausio 31 d., jeigu </w:t>
      </w:r>
      <w:r w:rsidR="0028665A">
        <w:rPr>
          <w:szCs w:val="24"/>
          <w:lang w:eastAsia="lt-LT"/>
        </w:rPr>
        <w:t xml:space="preserve">įstaigos vadovas </w:t>
      </w:r>
      <w:r w:rsidR="00BD036D">
        <w:rPr>
          <w:szCs w:val="24"/>
          <w:lang w:eastAsia="lt-LT"/>
        </w:rPr>
        <w:t>ne trumpiau kaip 6 mėnesius per praėjusius kalendorinius metus ėjo pareigas toje biudžetinėje įstaigoje</w:t>
      </w:r>
      <w:r w:rsidR="00CA392C">
        <w:rPr>
          <w:szCs w:val="24"/>
          <w:lang w:eastAsia="lt-LT"/>
        </w:rPr>
        <w:t>.</w:t>
      </w:r>
    </w:p>
    <w:p w:rsidR="006F6E43" w:rsidRDefault="005E62BD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8B6BA5">
        <w:rPr>
          <w:szCs w:val="24"/>
          <w:lang w:eastAsia="lt-LT"/>
        </w:rPr>
        <w:t>.</w:t>
      </w:r>
      <w:r w:rsidR="00986B4E">
        <w:rPr>
          <w:szCs w:val="24"/>
          <w:lang w:eastAsia="lt-LT"/>
        </w:rPr>
        <w:t xml:space="preserve"> </w:t>
      </w:r>
      <w:r w:rsidR="00D208A4">
        <w:rPr>
          <w:szCs w:val="24"/>
          <w:lang w:eastAsia="lt-LT"/>
        </w:rPr>
        <w:t>Įstaigos vadovo nustatytų užduočių įvykdymas</w:t>
      </w:r>
      <w:r w:rsidR="00F97F4B">
        <w:rPr>
          <w:szCs w:val="24"/>
          <w:lang w:eastAsia="lt-LT"/>
        </w:rPr>
        <w:t xml:space="preserve"> vertinamas teisės aktų nustatyta tvarka.</w:t>
      </w:r>
      <w:r w:rsidR="007B7AAE">
        <w:rPr>
          <w:szCs w:val="24"/>
          <w:lang w:eastAsia="lt-LT"/>
        </w:rPr>
        <w:t xml:space="preserve"> </w:t>
      </w:r>
    </w:p>
    <w:p w:rsidR="006F6E43" w:rsidRDefault="005E62BD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</w:t>
      </w:r>
      <w:r w:rsidR="00F97F4B">
        <w:rPr>
          <w:szCs w:val="24"/>
          <w:lang w:eastAsia="lt-LT"/>
        </w:rPr>
        <w:t xml:space="preserve">. </w:t>
      </w:r>
      <w:r w:rsidR="00986B4E">
        <w:rPr>
          <w:szCs w:val="24"/>
          <w:lang w:eastAsia="lt-LT"/>
        </w:rPr>
        <w:t xml:space="preserve">Kintamoji dalis </w:t>
      </w:r>
      <w:r w:rsidR="0058248D">
        <w:rPr>
          <w:szCs w:val="24"/>
          <w:lang w:eastAsia="lt-LT"/>
        </w:rPr>
        <w:t xml:space="preserve">švietimo </w:t>
      </w:r>
      <w:r w:rsidR="00986B4E">
        <w:rPr>
          <w:szCs w:val="24"/>
          <w:lang w:eastAsia="lt-LT"/>
        </w:rPr>
        <w:t>įstaigos vado</w:t>
      </w:r>
      <w:r w:rsidR="008E368D">
        <w:rPr>
          <w:szCs w:val="24"/>
          <w:lang w:eastAsia="lt-LT"/>
        </w:rPr>
        <w:t>vui nustatoma Saviv</w:t>
      </w:r>
      <w:r w:rsidR="00A437C1">
        <w:rPr>
          <w:szCs w:val="24"/>
          <w:lang w:eastAsia="lt-LT"/>
        </w:rPr>
        <w:t xml:space="preserve">aldybės </w:t>
      </w:r>
      <w:r w:rsidR="0058248D">
        <w:rPr>
          <w:szCs w:val="24"/>
          <w:lang w:eastAsia="lt-LT"/>
        </w:rPr>
        <w:t>tarybos sprendimu, o kitų biudžetinių įstaigos vadovui – Savivaldybės mero potvarkiu</w:t>
      </w:r>
      <w:r w:rsidR="008E368D">
        <w:rPr>
          <w:szCs w:val="24"/>
          <w:lang w:eastAsia="lt-LT"/>
        </w:rPr>
        <w:t>.</w:t>
      </w:r>
    </w:p>
    <w:p w:rsidR="006F6E43" w:rsidRDefault="005E62BD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13</w:t>
      </w:r>
      <w:r w:rsidR="00986B4E">
        <w:rPr>
          <w:szCs w:val="24"/>
          <w:lang w:eastAsia="zh-CN"/>
        </w:rPr>
        <w:t>. Atsižvelgiant į biudžetinių metų Savivaldybės finansines galimybes ir Savivaldybės tarybos patvirtintą įstaigos darbo užmokesčio fondą, įstaigos vadovams nustatoma kintamoji dali</w:t>
      </w:r>
      <w:r w:rsidR="00F057A4">
        <w:rPr>
          <w:szCs w:val="24"/>
          <w:lang w:eastAsia="zh-CN"/>
        </w:rPr>
        <w:t>s</w:t>
      </w:r>
      <w:r w:rsidR="00424A31">
        <w:rPr>
          <w:szCs w:val="24"/>
          <w:lang w:eastAsia="zh-CN"/>
        </w:rPr>
        <w:t>,</w:t>
      </w:r>
      <w:r w:rsidR="00F76AE7">
        <w:rPr>
          <w:szCs w:val="24"/>
          <w:lang w:eastAsia="zh-CN"/>
        </w:rPr>
        <w:t xml:space="preserve"> vadovaujantis šios sistemos 14</w:t>
      </w:r>
      <w:r w:rsidR="00986B4E">
        <w:rPr>
          <w:szCs w:val="24"/>
          <w:lang w:eastAsia="zh-CN"/>
        </w:rPr>
        <w:t xml:space="preserve"> punkte nustatytais kriterijais.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="00986B4E">
        <w:rPr>
          <w:szCs w:val="24"/>
          <w:lang w:eastAsia="lt-LT"/>
        </w:rPr>
        <w:t>. Įvertinus praėjusių kalendorinių metų įstaigos vadovo veiklą: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="00986B4E">
        <w:rPr>
          <w:szCs w:val="24"/>
          <w:lang w:eastAsia="lt-LT"/>
        </w:rPr>
        <w:t>.1</w:t>
      </w:r>
      <w:r w:rsidR="007C1B91">
        <w:rPr>
          <w:szCs w:val="24"/>
          <w:lang w:eastAsia="lt-LT"/>
        </w:rPr>
        <w:t>.</w:t>
      </w:r>
      <w:r w:rsidR="00986B4E">
        <w:rPr>
          <w:szCs w:val="24"/>
          <w:lang w:eastAsia="lt-LT"/>
        </w:rPr>
        <w:t xml:space="preserve"> labai gerai, nustatoma kintamoji dalis</w:t>
      </w:r>
      <w:r w:rsidR="00A9328F">
        <w:rPr>
          <w:szCs w:val="24"/>
          <w:lang w:eastAsia="lt-LT"/>
        </w:rPr>
        <w:t xml:space="preserve"> nuo</w:t>
      </w:r>
      <w:r w:rsidR="0082484C">
        <w:rPr>
          <w:szCs w:val="24"/>
          <w:lang w:eastAsia="lt-LT"/>
        </w:rPr>
        <w:t xml:space="preserve"> 10 procentų</w:t>
      </w:r>
      <w:r w:rsidR="00986B4E">
        <w:rPr>
          <w:szCs w:val="24"/>
          <w:lang w:eastAsia="lt-LT"/>
        </w:rPr>
        <w:t xml:space="preserve"> iki 30 procentų pareiginės algos pastoviosios dalies </w:t>
      </w:r>
      <w:r w:rsidR="0082484C">
        <w:rPr>
          <w:szCs w:val="24"/>
          <w:lang w:eastAsia="lt-LT"/>
        </w:rPr>
        <w:t>dydžio (įskaitant ir padidintą pareiginės algos pastoviąją dalį)</w:t>
      </w:r>
      <w:r w:rsidR="00986B4E">
        <w:rPr>
          <w:szCs w:val="24"/>
          <w:lang w:eastAsia="lt-LT"/>
        </w:rPr>
        <w:t>;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="00986B4E">
        <w:rPr>
          <w:szCs w:val="24"/>
          <w:lang w:eastAsia="lt-LT"/>
        </w:rPr>
        <w:t>.2. gerai, nustat</w:t>
      </w:r>
      <w:r w:rsidR="00A9328F">
        <w:rPr>
          <w:szCs w:val="24"/>
          <w:lang w:eastAsia="lt-LT"/>
        </w:rPr>
        <w:t>oma kintamoji dalis nuo 5 iki 9</w:t>
      </w:r>
      <w:r w:rsidR="00986B4E">
        <w:rPr>
          <w:szCs w:val="24"/>
          <w:lang w:eastAsia="lt-LT"/>
        </w:rPr>
        <w:t xml:space="preserve"> procentų pareiginės algos pastoviosios dalies dydžio (įskaitant ir padidintą pareiginės algos pastoviąją dalį);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="00986B4E">
        <w:rPr>
          <w:szCs w:val="24"/>
          <w:lang w:eastAsia="lt-LT"/>
        </w:rPr>
        <w:t>.3. patenkinamai, vienerius metus nenustatoma kintamoji dalis;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="00986B4E">
        <w:rPr>
          <w:szCs w:val="24"/>
          <w:lang w:eastAsia="lt-LT"/>
        </w:rPr>
        <w:t xml:space="preserve">.4. nepatenkinamai, vieneriems metams nustatomas iki </w:t>
      </w:r>
      <w:r w:rsidR="0082484C">
        <w:rPr>
          <w:szCs w:val="24"/>
          <w:lang w:eastAsia="lt-LT"/>
        </w:rPr>
        <w:t>1</w:t>
      </w:r>
      <w:r w:rsidR="00986B4E">
        <w:rPr>
          <w:szCs w:val="24"/>
          <w:lang w:eastAsia="lt-LT"/>
        </w:rPr>
        <w:t>5 procentų mažesnis pareiginės algos pastoviosios dalies  koeficientas, tačiau ne mažesnis nei įstatyme nustatytas tai pareigybei pagal vadovaujamo darbo patirtį nustatytas minimalus koeficientas.</w:t>
      </w:r>
    </w:p>
    <w:p w:rsidR="00986B4E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>15</w:t>
      </w:r>
      <w:r w:rsidR="00986B4E">
        <w:rPr>
          <w:szCs w:val="24"/>
          <w:lang w:eastAsia="zh-CN"/>
        </w:rPr>
        <w:t>. Paskirtas kintamosios dalies dydis įstaigos vadovui mok</w:t>
      </w:r>
      <w:r w:rsidR="00CB79EF">
        <w:rPr>
          <w:szCs w:val="24"/>
          <w:lang w:eastAsia="zh-CN"/>
        </w:rPr>
        <w:t>amas vienerius metus.</w:t>
      </w:r>
    </w:p>
    <w:p w:rsidR="006F6E43" w:rsidRDefault="006F6E43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</w:p>
    <w:p w:rsidR="00986B4E" w:rsidRDefault="00986B4E" w:rsidP="00986B4E">
      <w:pPr>
        <w:tabs>
          <w:tab w:val="left" w:pos="0"/>
          <w:tab w:val="left" w:pos="1418"/>
        </w:tabs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986B4E" w:rsidRDefault="00986B4E" w:rsidP="00986B4E">
      <w:pPr>
        <w:tabs>
          <w:tab w:val="left" w:pos="0"/>
          <w:tab w:val="left" w:pos="1418"/>
        </w:tabs>
        <w:spacing w:line="276" w:lineRule="auto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PREMIJŲ IR PRIEMOKŲ MOKĖJIMO TVARKA IR SĄLYGOS</w:t>
      </w:r>
    </w:p>
    <w:p w:rsidR="00986B4E" w:rsidRDefault="00986B4E" w:rsidP="00986B4E">
      <w:pPr>
        <w:tabs>
          <w:tab w:val="left" w:pos="0"/>
          <w:tab w:val="left" w:pos="1418"/>
        </w:tabs>
        <w:spacing w:line="276" w:lineRule="auto"/>
        <w:jc w:val="center"/>
        <w:rPr>
          <w:szCs w:val="24"/>
          <w:lang w:eastAsia="lt-LT"/>
        </w:rPr>
      </w:pP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zh-CN"/>
        </w:rPr>
      </w:pPr>
      <w:r>
        <w:rPr>
          <w:szCs w:val="24"/>
          <w:lang w:eastAsia="lt-LT"/>
        </w:rPr>
        <w:t>16</w:t>
      </w:r>
      <w:r w:rsidR="00986B4E">
        <w:rPr>
          <w:szCs w:val="24"/>
          <w:lang w:eastAsia="lt-LT"/>
        </w:rPr>
        <w:t>. Priemoka nustatoma atsiradus įstatyme nustatytoms aplinkybėms ir ne ilgesniam laikotarpiui nei</w:t>
      </w:r>
      <w:r w:rsidR="008C76F9">
        <w:rPr>
          <w:szCs w:val="24"/>
          <w:lang w:eastAsia="lt-LT"/>
        </w:rPr>
        <w:t xml:space="preserve"> iki kalendorinių metų pabaigos, </w:t>
      </w:r>
      <w:r w:rsidR="008C76F9">
        <w:rPr>
          <w:szCs w:val="24"/>
          <w:lang w:eastAsia="zh-CN"/>
        </w:rPr>
        <w:t>atsižvelgiant į biudžetinių metų Savivaldybės finansines galimybes ir Savivaldybės tarybos patvirtintą įstaigos darbo užmokesčio fondą.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986B4E">
        <w:rPr>
          <w:szCs w:val="24"/>
          <w:lang w:eastAsia="lt-LT"/>
        </w:rPr>
        <w:t xml:space="preserve">. Priemokos mokėjimas nutraukiamas, jei išnyksta jos skyrimo aplinkybės, arba sumažinamas procentinis dydis, kai pasikeičia aplinkybės, kurių pagrindu priemoka buvo skirta (sumažėja papildomo darbo krūvis, papildomų pareigų ar užduočių). 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18</w:t>
      </w:r>
      <w:r w:rsidR="00A10614">
        <w:rPr>
          <w:szCs w:val="24"/>
          <w:lang w:eastAsia="lt-LT"/>
        </w:rPr>
        <w:t xml:space="preserve">. </w:t>
      </w:r>
      <w:r w:rsidR="00986B4E">
        <w:rPr>
          <w:szCs w:val="24"/>
          <w:lang w:eastAsia="lt-LT"/>
        </w:rPr>
        <w:t xml:space="preserve"> Priemoka įstaigos vadovui nustatoma Savivaldybės mero potvarkiu.</w:t>
      </w:r>
      <w:r w:rsidR="00CD739D">
        <w:rPr>
          <w:szCs w:val="24"/>
          <w:lang w:eastAsia="lt-LT"/>
        </w:rPr>
        <w:t xml:space="preserve"> Priemoka gali siekti iki 30 procentų pareiginės algos pastoviosios dalies dydžio. Priemokų ir pareiginės algos kintamosios dalies suma negali viršyti 60 procentų pareiginės algos pastoviosios dalies dydžio.</w:t>
      </w:r>
    </w:p>
    <w:p w:rsidR="006F6E43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19</w:t>
      </w:r>
      <w:r w:rsidR="00986B4E">
        <w:rPr>
          <w:szCs w:val="24"/>
          <w:lang w:eastAsia="lt-LT"/>
        </w:rPr>
        <w:t>. Siūlyti skirti priemoką ar inicijuoti priemokos mokėjimo persvarstymą gali Savivaldybės administracijos direktorius, įstaigos veiklą ko</w:t>
      </w:r>
      <w:r w:rsidR="00CD739D">
        <w:rPr>
          <w:szCs w:val="24"/>
          <w:lang w:eastAsia="lt-LT"/>
        </w:rPr>
        <w:t>ordinuojantis padalinio vadovas</w:t>
      </w:r>
      <w:r w:rsidR="00986B4E">
        <w:rPr>
          <w:szCs w:val="24"/>
          <w:lang w:eastAsia="lt-LT"/>
        </w:rPr>
        <w:t xml:space="preserve">. </w:t>
      </w:r>
    </w:p>
    <w:p w:rsidR="00986B4E" w:rsidRDefault="00F76AE7" w:rsidP="006F6E43">
      <w:pPr>
        <w:tabs>
          <w:tab w:val="left" w:pos="0"/>
          <w:tab w:val="left" w:pos="1418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986B4E">
        <w:rPr>
          <w:szCs w:val="24"/>
          <w:lang w:eastAsia="lt-LT"/>
        </w:rPr>
        <w:t xml:space="preserve">. </w:t>
      </w:r>
      <w:r w:rsidR="00561D5B" w:rsidRPr="006F6E43">
        <w:rPr>
          <w:szCs w:val="24"/>
          <w:lang w:eastAsia="lt-LT"/>
        </w:rPr>
        <w:t>Įstaigos vadovui ne</w:t>
      </w:r>
      <w:r w:rsidR="00F2082D" w:rsidRPr="006F6E43">
        <w:rPr>
          <w:szCs w:val="24"/>
          <w:lang w:eastAsia="lt-LT"/>
        </w:rPr>
        <w:t xml:space="preserve"> </w:t>
      </w:r>
      <w:r w:rsidR="00561D5B" w:rsidRPr="006F6E43">
        <w:rPr>
          <w:szCs w:val="24"/>
          <w:lang w:eastAsia="lt-LT"/>
        </w:rPr>
        <w:t>daugiau kaip vieną kartą per metus gali būti skiriama premija</w:t>
      </w:r>
      <w:r w:rsidR="00F2082D" w:rsidRPr="006F6E43">
        <w:rPr>
          <w:szCs w:val="24"/>
          <w:lang w:eastAsia="lt-LT"/>
        </w:rPr>
        <w:t>, atlikus vienkartines</w:t>
      </w:r>
      <w:r w:rsidR="00561D5B" w:rsidRPr="006F6E43">
        <w:rPr>
          <w:szCs w:val="24"/>
          <w:lang w:eastAsia="lt-LT"/>
        </w:rPr>
        <w:t xml:space="preserve"> ypač svarbias įstaigos veiklai užduotis. Taip pat ne daugiau kaip vieną kartą per metus gali būti skiriama premija,</w:t>
      </w:r>
      <w:r w:rsidR="00464955" w:rsidRPr="006F6E43">
        <w:rPr>
          <w:szCs w:val="24"/>
          <w:lang w:eastAsia="lt-LT"/>
        </w:rPr>
        <w:t xml:space="preserve"> labai gerai įvertinus </w:t>
      </w:r>
      <w:r w:rsidR="00561D5B" w:rsidRPr="006F6E43">
        <w:rPr>
          <w:szCs w:val="24"/>
          <w:lang w:eastAsia="lt-LT"/>
        </w:rPr>
        <w:t>įstaigos vadovo praėjusių kalendorinių metų veiklą. Premija negali viršyti įstaigos vadovo nustatytos pareiginės algos pastoviosios dalies dydžio ir skiriama neviršijant įstaigai darbo užmokesčiui skirtų lėšų</w:t>
      </w:r>
      <w:r w:rsidR="00561D5B" w:rsidRPr="006F6E43">
        <w:rPr>
          <w:color w:val="002060"/>
          <w:szCs w:val="24"/>
          <w:lang w:eastAsia="lt-LT"/>
        </w:rPr>
        <w:t>.</w:t>
      </w:r>
      <w:r w:rsidR="00AD7A5B">
        <w:rPr>
          <w:color w:val="FF0000"/>
          <w:szCs w:val="24"/>
          <w:lang w:eastAsia="lt-LT"/>
        </w:rPr>
        <w:t xml:space="preserve"> </w:t>
      </w:r>
      <w:r w:rsidR="00845668">
        <w:rPr>
          <w:szCs w:val="24"/>
          <w:lang w:eastAsia="lt-LT"/>
        </w:rPr>
        <w:t>Premija neskiriama įstaigos vadovui, kuriam per paskutinius 12 mėnesių paskirta drausminė nuobauda.</w:t>
      </w:r>
    </w:p>
    <w:p w:rsidR="00986B4E" w:rsidRPr="00464955" w:rsidRDefault="00986B4E" w:rsidP="00986B4E">
      <w:pPr>
        <w:spacing w:line="276" w:lineRule="auto"/>
        <w:ind w:left="373"/>
        <w:jc w:val="both"/>
        <w:rPr>
          <w:szCs w:val="24"/>
          <w:lang w:eastAsia="lt-LT"/>
        </w:rPr>
      </w:pPr>
    </w:p>
    <w:p w:rsidR="00986B4E" w:rsidRDefault="00986B4E" w:rsidP="00986B4E">
      <w:pPr>
        <w:tabs>
          <w:tab w:val="left" w:pos="1276"/>
        </w:tabs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:rsidR="00986B4E" w:rsidRPr="00464955" w:rsidRDefault="00986B4E" w:rsidP="00986B4E">
      <w:pPr>
        <w:tabs>
          <w:tab w:val="left" w:pos="1276"/>
        </w:tabs>
        <w:spacing w:line="276" w:lineRule="auto"/>
        <w:jc w:val="center"/>
        <w:rPr>
          <w:b/>
          <w:color w:val="FF0000"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:rsidR="00986B4E" w:rsidRDefault="00986B4E" w:rsidP="00986B4E">
      <w:pPr>
        <w:tabs>
          <w:tab w:val="left" w:pos="1276"/>
        </w:tabs>
        <w:spacing w:line="276" w:lineRule="auto"/>
        <w:ind w:firstLine="709"/>
        <w:jc w:val="center"/>
        <w:rPr>
          <w:szCs w:val="24"/>
          <w:lang w:eastAsia="lt-LT"/>
        </w:rPr>
      </w:pPr>
    </w:p>
    <w:p w:rsidR="00986B4E" w:rsidRDefault="00F76AE7" w:rsidP="006F6E43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986B4E">
        <w:rPr>
          <w:szCs w:val="24"/>
          <w:lang w:eastAsia="lt-LT"/>
        </w:rPr>
        <w:t>. Ši</w:t>
      </w:r>
      <w:r w:rsidR="004F0C36">
        <w:rPr>
          <w:szCs w:val="24"/>
          <w:lang w:eastAsia="lt-LT"/>
        </w:rPr>
        <w:t>s aprašas</w:t>
      </w:r>
      <w:r w:rsidR="00986B4E">
        <w:rPr>
          <w:szCs w:val="24"/>
          <w:lang w:eastAsia="lt-LT"/>
        </w:rPr>
        <w:t xml:space="preserve"> gali būti keičiama</w:t>
      </w:r>
      <w:r w:rsidR="004F0C36">
        <w:rPr>
          <w:szCs w:val="24"/>
          <w:lang w:eastAsia="lt-LT"/>
        </w:rPr>
        <w:t>s</w:t>
      </w:r>
      <w:r w:rsidR="00986B4E">
        <w:rPr>
          <w:szCs w:val="24"/>
          <w:lang w:eastAsia="lt-LT"/>
        </w:rPr>
        <w:t>, panaikinama</w:t>
      </w:r>
      <w:r w:rsidR="004F0C36">
        <w:rPr>
          <w:szCs w:val="24"/>
          <w:lang w:eastAsia="lt-LT"/>
        </w:rPr>
        <w:t>s</w:t>
      </w:r>
      <w:r w:rsidR="001B2321">
        <w:rPr>
          <w:szCs w:val="24"/>
          <w:lang w:eastAsia="lt-LT"/>
        </w:rPr>
        <w:t xml:space="preserve"> </w:t>
      </w:r>
      <w:r w:rsidR="00986B4E">
        <w:rPr>
          <w:szCs w:val="24"/>
          <w:lang w:eastAsia="lt-LT"/>
        </w:rPr>
        <w:t>Savivaldybės tarybos sprendimu.</w:t>
      </w:r>
    </w:p>
    <w:p w:rsidR="00986B4E" w:rsidRDefault="00986B4E" w:rsidP="00986B4E">
      <w:pPr>
        <w:spacing w:line="276" w:lineRule="auto"/>
        <w:jc w:val="center"/>
        <w:rPr>
          <w:szCs w:val="24"/>
          <w:lang w:eastAsia="lt-LT"/>
        </w:rPr>
      </w:pPr>
    </w:p>
    <w:p w:rsidR="00986B4E" w:rsidRDefault="00986B4E" w:rsidP="00986B4E">
      <w:pPr>
        <w:spacing w:line="276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</w:t>
      </w:r>
    </w:p>
    <w:p w:rsidR="00401110" w:rsidRDefault="004B236B" w:rsidP="00CC2DAB">
      <w:pPr>
        <w:tabs>
          <w:tab w:val="center" w:pos="4153"/>
          <w:tab w:val="right" w:pos="8306"/>
        </w:tabs>
        <w:jc w:val="both"/>
      </w:pPr>
      <w:r>
        <w:t xml:space="preserve">                                     </w:t>
      </w:r>
      <w:r w:rsidR="00B12681">
        <w:t xml:space="preserve">                                                                                                               </w:t>
      </w:r>
    </w:p>
    <w:p w:rsidR="00A81BF2" w:rsidRDefault="00401110" w:rsidP="0033600D">
      <w:pPr>
        <w:jc w:val="both"/>
      </w:pPr>
      <w:r>
        <w:t xml:space="preserve">                               </w:t>
      </w:r>
    </w:p>
    <w:p w:rsidR="00BA0E68" w:rsidRDefault="00A81BF2" w:rsidP="00CC2DAB">
      <w:pPr>
        <w:jc w:val="both"/>
      </w:pPr>
      <w:r>
        <w:t xml:space="preserve">                                       </w:t>
      </w:r>
    </w:p>
    <w:p w:rsidR="00A82223" w:rsidRDefault="00756CFF" w:rsidP="00F03FA3">
      <w:pPr>
        <w:ind w:left="709" w:hanging="709"/>
        <w:jc w:val="both"/>
      </w:pPr>
      <w:r>
        <w:t xml:space="preserve">                              </w:t>
      </w:r>
    </w:p>
    <w:sectPr w:rsidR="00A82223" w:rsidSect="00A20C80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E8" w:rsidRDefault="003563E8" w:rsidP="001A17BC">
      <w:r>
        <w:separator/>
      </w:r>
    </w:p>
  </w:endnote>
  <w:endnote w:type="continuationSeparator" w:id="0">
    <w:p w:rsidR="003563E8" w:rsidRDefault="003563E8" w:rsidP="001A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E8" w:rsidRDefault="003563E8" w:rsidP="001A17BC">
      <w:r>
        <w:separator/>
      </w:r>
    </w:p>
  </w:footnote>
  <w:footnote w:type="continuationSeparator" w:id="0">
    <w:p w:rsidR="003563E8" w:rsidRDefault="003563E8" w:rsidP="001A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87223"/>
      <w:docPartObj>
        <w:docPartGallery w:val="Page Numbers (Top of Page)"/>
        <w:docPartUnique/>
      </w:docPartObj>
    </w:sdtPr>
    <w:sdtEndPr/>
    <w:sdtContent>
      <w:p w:rsidR="001A17BC" w:rsidRDefault="001A17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E43">
          <w:rPr>
            <w:noProof/>
          </w:rPr>
          <w:t>3</w:t>
        </w:r>
        <w:r>
          <w:fldChar w:fldCharType="end"/>
        </w:r>
      </w:p>
    </w:sdtContent>
  </w:sdt>
  <w:p w:rsidR="001A17BC" w:rsidRDefault="001A17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6"/>
    <w:rsid w:val="000030DD"/>
    <w:rsid w:val="00022EAC"/>
    <w:rsid w:val="00044936"/>
    <w:rsid w:val="0004744E"/>
    <w:rsid w:val="00077A78"/>
    <w:rsid w:val="0008277A"/>
    <w:rsid w:val="000A1736"/>
    <w:rsid w:val="000B007A"/>
    <w:rsid w:val="000B6B5A"/>
    <w:rsid w:val="000C7C1E"/>
    <w:rsid w:val="000F5EF3"/>
    <w:rsid w:val="00117D90"/>
    <w:rsid w:val="0013152D"/>
    <w:rsid w:val="0013746A"/>
    <w:rsid w:val="00142BEB"/>
    <w:rsid w:val="0014468A"/>
    <w:rsid w:val="0014666A"/>
    <w:rsid w:val="00166CA7"/>
    <w:rsid w:val="001823AC"/>
    <w:rsid w:val="00194C60"/>
    <w:rsid w:val="001A17BC"/>
    <w:rsid w:val="001A25BD"/>
    <w:rsid w:val="001B2321"/>
    <w:rsid w:val="001D551F"/>
    <w:rsid w:val="001F7BCB"/>
    <w:rsid w:val="00207DE9"/>
    <w:rsid w:val="00211DD2"/>
    <w:rsid w:val="00214E70"/>
    <w:rsid w:val="00233BEE"/>
    <w:rsid w:val="00282F6F"/>
    <w:rsid w:val="0028665A"/>
    <w:rsid w:val="00286ADC"/>
    <w:rsid w:val="0029716E"/>
    <w:rsid w:val="002C031C"/>
    <w:rsid w:val="002C2864"/>
    <w:rsid w:val="002C53D7"/>
    <w:rsid w:val="002F6116"/>
    <w:rsid w:val="002F75DC"/>
    <w:rsid w:val="00312B97"/>
    <w:rsid w:val="0032191A"/>
    <w:rsid w:val="00326A6B"/>
    <w:rsid w:val="00333EA7"/>
    <w:rsid w:val="0033600D"/>
    <w:rsid w:val="00354945"/>
    <w:rsid w:val="003563E8"/>
    <w:rsid w:val="003652A7"/>
    <w:rsid w:val="00367A02"/>
    <w:rsid w:val="003B4D4B"/>
    <w:rsid w:val="003C0006"/>
    <w:rsid w:val="003C5110"/>
    <w:rsid w:val="003E2DB7"/>
    <w:rsid w:val="003F5450"/>
    <w:rsid w:val="003F5698"/>
    <w:rsid w:val="00401110"/>
    <w:rsid w:val="0040600E"/>
    <w:rsid w:val="00424A31"/>
    <w:rsid w:val="00425C3A"/>
    <w:rsid w:val="00433931"/>
    <w:rsid w:val="00443EE9"/>
    <w:rsid w:val="00454B53"/>
    <w:rsid w:val="00464955"/>
    <w:rsid w:val="004A28E7"/>
    <w:rsid w:val="004A571B"/>
    <w:rsid w:val="004B236B"/>
    <w:rsid w:val="004C3F39"/>
    <w:rsid w:val="004F0C36"/>
    <w:rsid w:val="00500834"/>
    <w:rsid w:val="00521E19"/>
    <w:rsid w:val="00523819"/>
    <w:rsid w:val="00527D6B"/>
    <w:rsid w:val="00546C2E"/>
    <w:rsid w:val="0055647E"/>
    <w:rsid w:val="00556893"/>
    <w:rsid w:val="00561D5B"/>
    <w:rsid w:val="0058223F"/>
    <w:rsid w:val="0058248D"/>
    <w:rsid w:val="0058464F"/>
    <w:rsid w:val="00592FE1"/>
    <w:rsid w:val="005E4EE8"/>
    <w:rsid w:val="005E62BD"/>
    <w:rsid w:val="00646BF3"/>
    <w:rsid w:val="00650206"/>
    <w:rsid w:val="006505EE"/>
    <w:rsid w:val="00676102"/>
    <w:rsid w:val="0067637D"/>
    <w:rsid w:val="006E4699"/>
    <w:rsid w:val="006E7EF1"/>
    <w:rsid w:val="006F3C72"/>
    <w:rsid w:val="006F6E43"/>
    <w:rsid w:val="00705852"/>
    <w:rsid w:val="00717D97"/>
    <w:rsid w:val="0072046F"/>
    <w:rsid w:val="00737F69"/>
    <w:rsid w:val="007424D7"/>
    <w:rsid w:val="007537FD"/>
    <w:rsid w:val="00756CFF"/>
    <w:rsid w:val="00760E25"/>
    <w:rsid w:val="00766B8D"/>
    <w:rsid w:val="00774F8E"/>
    <w:rsid w:val="00783B0C"/>
    <w:rsid w:val="007B71D6"/>
    <w:rsid w:val="007B7AAE"/>
    <w:rsid w:val="007C1B91"/>
    <w:rsid w:val="007C3ACA"/>
    <w:rsid w:val="007C4DBC"/>
    <w:rsid w:val="007D3F4B"/>
    <w:rsid w:val="007F7031"/>
    <w:rsid w:val="00802AC7"/>
    <w:rsid w:val="00802B9C"/>
    <w:rsid w:val="008131DC"/>
    <w:rsid w:val="008204F9"/>
    <w:rsid w:val="00822FFF"/>
    <w:rsid w:val="0082484C"/>
    <w:rsid w:val="00845668"/>
    <w:rsid w:val="008461A6"/>
    <w:rsid w:val="00847ED6"/>
    <w:rsid w:val="00855150"/>
    <w:rsid w:val="00871840"/>
    <w:rsid w:val="00877EDF"/>
    <w:rsid w:val="00884EE1"/>
    <w:rsid w:val="0088533F"/>
    <w:rsid w:val="008B4002"/>
    <w:rsid w:val="008B42E3"/>
    <w:rsid w:val="008B6BA5"/>
    <w:rsid w:val="008C76F9"/>
    <w:rsid w:val="008D30E1"/>
    <w:rsid w:val="008E368D"/>
    <w:rsid w:val="009125D1"/>
    <w:rsid w:val="009163C5"/>
    <w:rsid w:val="00925E83"/>
    <w:rsid w:val="00941629"/>
    <w:rsid w:val="00944CEE"/>
    <w:rsid w:val="00962EE8"/>
    <w:rsid w:val="00963D7A"/>
    <w:rsid w:val="009646AF"/>
    <w:rsid w:val="009728F1"/>
    <w:rsid w:val="00975DF4"/>
    <w:rsid w:val="00982B20"/>
    <w:rsid w:val="00986B4E"/>
    <w:rsid w:val="00990459"/>
    <w:rsid w:val="009A0461"/>
    <w:rsid w:val="009B7BAE"/>
    <w:rsid w:val="009D171B"/>
    <w:rsid w:val="009F6BE0"/>
    <w:rsid w:val="00A10614"/>
    <w:rsid w:val="00A20C80"/>
    <w:rsid w:val="00A24929"/>
    <w:rsid w:val="00A437C1"/>
    <w:rsid w:val="00A814F0"/>
    <w:rsid w:val="00A81BF2"/>
    <w:rsid w:val="00A82223"/>
    <w:rsid w:val="00A9328F"/>
    <w:rsid w:val="00A94B6F"/>
    <w:rsid w:val="00AD7A5B"/>
    <w:rsid w:val="00AD7FB0"/>
    <w:rsid w:val="00B12681"/>
    <w:rsid w:val="00B14462"/>
    <w:rsid w:val="00B150F0"/>
    <w:rsid w:val="00B156FD"/>
    <w:rsid w:val="00B52FAF"/>
    <w:rsid w:val="00B65D16"/>
    <w:rsid w:val="00B94708"/>
    <w:rsid w:val="00BA0E68"/>
    <w:rsid w:val="00BC3C9B"/>
    <w:rsid w:val="00BD036D"/>
    <w:rsid w:val="00BD194C"/>
    <w:rsid w:val="00BD7B93"/>
    <w:rsid w:val="00C225CA"/>
    <w:rsid w:val="00C3373F"/>
    <w:rsid w:val="00C52861"/>
    <w:rsid w:val="00CA392C"/>
    <w:rsid w:val="00CA6A24"/>
    <w:rsid w:val="00CB1677"/>
    <w:rsid w:val="00CB79EF"/>
    <w:rsid w:val="00CC0971"/>
    <w:rsid w:val="00CC1BEF"/>
    <w:rsid w:val="00CC2DAB"/>
    <w:rsid w:val="00CD739D"/>
    <w:rsid w:val="00CE28F9"/>
    <w:rsid w:val="00D208A4"/>
    <w:rsid w:val="00D3111A"/>
    <w:rsid w:val="00D3347F"/>
    <w:rsid w:val="00D66111"/>
    <w:rsid w:val="00D70CDD"/>
    <w:rsid w:val="00DC30ED"/>
    <w:rsid w:val="00E24CD1"/>
    <w:rsid w:val="00E26C19"/>
    <w:rsid w:val="00E42E12"/>
    <w:rsid w:val="00E6429B"/>
    <w:rsid w:val="00E654AE"/>
    <w:rsid w:val="00E70241"/>
    <w:rsid w:val="00E72E2C"/>
    <w:rsid w:val="00E85260"/>
    <w:rsid w:val="00E854F3"/>
    <w:rsid w:val="00E8560F"/>
    <w:rsid w:val="00E91E96"/>
    <w:rsid w:val="00E922E5"/>
    <w:rsid w:val="00EB37DF"/>
    <w:rsid w:val="00EE1359"/>
    <w:rsid w:val="00EF5E29"/>
    <w:rsid w:val="00F02C88"/>
    <w:rsid w:val="00F03FA3"/>
    <w:rsid w:val="00F057A4"/>
    <w:rsid w:val="00F072DB"/>
    <w:rsid w:val="00F1281D"/>
    <w:rsid w:val="00F14CFE"/>
    <w:rsid w:val="00F2082D"/>
    <w:rsid w:val="00F25B23"/>
    <w:rsid w:val="00F26308"/>
    <w:rsid w:val="00F76856"/>
    <w:rsid w:val="00F76AE7"/>
    <w:rsid w:val="00F82E8E"/>
    <w:rsid w:val="00F87A2C"/>
    <w:rsid w:val="00F97F4B"/>
    <w:rsid w:val="00FA58E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7BE9"/>
  <w15:docId w15:val="{09B8E4EE-B97E-42C4-B897-55A19B1A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4493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044936"/>
  </w:style>
  <w:style w:type="paragraph" w:styleId="Pagrindiniotekstotrauka">
    <w:name w:val="Body Text Indent"/>
    <w:basedOn w:val="prastasis"/>
    <w:link w:val="PagrindiniotekstotraukaDiagrama"/>
    <w:unhideWhenUsed/>
    <w:rsid w:val="00044936"/>
    <w:pPr>
      <w:suppressAutoHyphens/>
      <w:ind w:firstLine="540"/>
    </w:pPr>
    <w:rPr>
      <w:szCs w:val="24"/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44936"/>
    <w:rPr>
      <w:rFonts w:eastAsia="Times New Roman" w:cs="Times New Roman"/>
      <w:szCs w:val="24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9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936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A17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17BC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A17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7BC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98EF-98E0-4972-A932-2C06045D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4798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2017-03-17T13:19:00Z</cp:lastPrinted>
  <dcterms:created xsi:type="dcterms:W3CDTF">2017-03-29T09:55:00Z</dcterms:created>
  <dcterms:modified xsi:type="dcterms:W3CDTF">2017-03-31T10:23:00Z</dcterms:modified>
</cp:coreProperties>
</file>