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B06A5" w:rsidTr="0086325E">
        <w:trPr>
          <w:trHeight w:val="1985"/>
          <w:tblHeader/>
        </w:trPr>
        <w:tc>
          <w:tcPr>
            <w:tcW w:w="9747" w:type="dxa"/>
          </w:tcPr>
          <w:p w:rsidR="00AB06A5" w:rsidRPr="00B76842" w:rsidRDefault="00AB06A5" w:rsidP="0086325E">
            <w:pPr>
              <w:jc w:val="both"/>
              <w:rPr>
                <w:b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</w:t>
            </w:r>
          </w:p>
          <w:p w:rsidR="00AB06A5" w:rsidRPr="000E0642" w:rsidRDefault="00ED7480" w:rsidP="0086325E">
            <w:pPr>
              <w:jc w:val="center"/>
              <w:rPr>
                <w:b/>
                <w:caps/>
                <w:szCs w:val="24"/>
              </w:rPr>
            </w:pPr>
            <w:r w:rsidRPr="00BA14F4"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2450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6A5" w:rsidRPr="000E0642" w:rsidRDefault="00AB06A5" w:rsidP="0086325E">
            <w:pPr>
              <w:jc w:val="center"/>
              <w:rPr>
                <w:b/>
                <w:caps/>
                <w:szCs w:val="24"/>
              </w:rPr>
            </w:pPr>
          </w:p>
          <w:p w:rsidR="00AB06A5" w:rsidRPr="00B76842" w:rsidRDefault="001A7B2F" w:rsidP="0086325E">
            <w:pPr>
              <w:jc w:val="center"/>
              <w:rPr>
                <w:b/>
                <w:caps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</w:t>
            </w:r>
            <w:r w:rsidR="00AB06A5" w:rsidRPr="00B76842">
              <w:rPr>
                <w:b/>
                <w:sz w:val="28"/>
                <w:szCs w:val="24"/>
              </w:rPr>
              <w:t>KRETINGOS RAJONO SAVIVALDYBĖS TARYBA</w:t>
            </w:r>
          </w:p>
          <w:p w:rsidR="00AB06A5" w:rsidRPr="000E0642" w:rsidRDefault="00AB06A5" w:rsidP="0086325E">
            <w:pPr>
              <w:jc w:val="center"/>
              <w:rPr>
                <w:b/>
                <w:caps/>
                <w:szCs w:val="24"/>
              </w:rPr>
            </w:pPr>
          </w:p>
          <w:p w:rsidR="00AB06A5" w:rsidRPr="000E0642" w:rsidRDefault="00AB06A5" w:rsidP="0086325E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szCs w:val="24"/>
              </w:rPr>
              <w:t>SPRENDIMAS</w:t>
            </w:r>
          </w:p>
          <w:p w:rsidR="00AB06A5" w:rsidRPr="000E0642" w:rsidRDefault="00AB06A5" w:rsidP="0086325E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 xml:space="preserve">TURTO PERĖMIMO KRETINGOS RAJONO SAVIVALDYBĖS NUOSAVYBĖN </w:t>
            </w:r>
          </w:p>
          <w:p w:rsidR="00AB06A5" w:rsidRPr="000E0642" w:rsidRDefault="00AB06A5" w:rsidP="0086325E">
            <w:pPr>
              <w:jc w:val="center"/>
              <w:rPr>
                <w:b/>
                <w:szCs w:val="24"/>
              </w:rPr>
            </w:pPr>
          </w:p>
        </w:tc>
      </w:tr>
    </w:tbl>
    <w:p w:rsidR="00AB06A5" w:rsidRDefault="001A7B2F" w:rsidP="00AB06A5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kovo </w:t>
      </w:r>
      <w:r w:rsidR="007B31FC">
        <w:rPr>
          <w:rFonts w:ascii="BaltikaLT" w:hAnsi="BaltikaLT"/>
        </w:rPr>
        <w:t xml:space="preserve">30 </w:t>
      </w:r>
      <w:r>
        <w:rPr>
          <w:rFonts w:ascii="BaltikaLT" w:hAnsi="BaltikaLT"/>
        </w:rPr>
        <w:t>d.  Nr. T</w:t>
      </w:r>
      <w:r w:rsidR="007B31FC">
        <w:rPr>
          <w:rFonts w:ascii="BaltikaLT" w:hAnsi="BaltikaLT"/>
        </w:rPr>
        <w:t>2</w:t>
      </w:r>
      <w:r>
        <w:rPr>
          <w:rFonts w:ascii="BaltikaLT" w:hAnsi="BaltikaLT"/>
        </w:rPr>
        <w:t>-</w:t>
      </w:r>
      <w:r w:rsidR="00BB136B">
        <w:rPr>
          <w:rFonts w:ascii="BaltikaLT" w:hAnsi="BaltikaLT"/>
        </w:rPr>
        <w:t>128</w:t>
      </w:r>
    </w:p>
    <w:p w:rsidR="00AB06A5" w:rsidRDefault="00AB06A5" w:rsidP="00AB06A5">
      <w:pPr>
        <w:jc w:val="center"/>
      </w:pPr>
      <w:r>
        <w:rPr>
          <w:rFonts w:ascii="BaltikaLT" w:hAnsi="BaltikaLT"/>
        </w:rPr>
        <w:t>Kretinga</w:t>
      </w: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32 punktu, Lietuvos Respublikos valstybės ir savivaldybių turto valdymo, naudojimo ir disponavimo juo įstatymo 6 straipsnio 5 punktu </w:t>
      </w:r>
      <w:r w:rsidRPr="00707F63">
        <w:t>ir</w:t>
      </w:r>
      <w:r>
        <w:t xml:space="preserve"> atsižvelgdama į </w:t>
      </w:r>
      <w:r w:rsidR="001E09C3">
        <w:t>Salantų miesto bendruomenės</w:t>
      </w:r>
      <w:r>
        <w:t xml:space="preserve"> 201</w:t>
      </w:r>
      <w:r w:rsidR="001E09C3">
        <w:t>7</w:t>
      </w:r>
      <w:r>
        <w:t xml:space="preserve"> m. </w:t>
      </w:r>
      <w:r w:rsidR="001E09C3">
        <w:t>sausio 27</w:t>
      </w:r>
      <w:r>
        <w:t xml:space="preserve"> d. raštą „Dėl </w:t>
      </w:r>
      <w:r w:rsidR="001E09C3">
        <w:t>projekto „Salantų miesto centro rekonstrukcija“ įgyvendinimo laikotarpiu sukurto turto perdavimo“</w:t>
      </w:r>
      <w:r>
        <w:rPr>
          <w:rFonts w:eastAsia="Calibri"/>
          <w:szCs w:val="24"/>
          <w:lang w:eastAsia="lt-LT"/>
        </w:rPr>
        <w:t>,</w:t>
      </w:r>
      <w:r w:rsidRPr="006D5001">
        <w:rPr>
          <w:rFonts w:eastAsia="Calibri"/>
          <w:szCs w:val="24"/>
          <w:lang w:eastAsia="lt-LT"/>
        </w:rPr>
        <w:t xml:space="preserve"> </w:t>
      </w:r>
      <w:r>
        <w:t>Kretingos rajono savivaldybės taryba  n u s p r e n d ž i a:</w:t>
      </w:r>
    </w:p>
    <w:p w:rsidR="001E09C3" w:rsidRDefault="00AB06A5" w:rsidP="00AB06A5">
      <w:pPr>
        <w:ind w:firstLine="1296"/>
        <w:jc w:val="both"/>
        <w:rPr>
          <w:szCs w:val="24"/>
        </w:rPr>
      </w:pP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>Kretingos rajono savivaldybės nuosavybėn savarankiškajai  savivaldybės funkcijai (savivaldybių vietinės reikšmės kelių ir gatvių priežiūra, taisymas, tiesimas ir saugaus eismo organizavimas) įgyvendinti</w:t>
      </w:r>
      <w:r w:rsidR="001E09C3">
        <w:rPr>
          <w:szCs w:val="24"/>
        </w:rPr>
        <w:t xml:space="preserve"> Salantų miesto bendruomenei nuosavybės teise priklausantį turtą</w:t>
      </w:r>
      <w:r w:rsidR="006246D1">
        <w:rPr>
          <w:szCs w:val="24"/>
        </w:rPr>
        <w:t>,</w:t>
      </w:r>
      <w:r w:rsidR="001E09C3">
        <w:rPr>
          <w:szCs w:val="24"/>
        </w:rPr>
        <w:t xml:space="preserve"> sukurtą įgyvendinant projektą „Salantų miesto centro rekonstrukcija“</w:t>
      </w:r>
      <w:r w:rsidR="006246D1">
        <w:rPr>
          <w:szCs w:val="24"/>
        </w:rPr>
        <w:t>,</w:t>
      </w:r>
      <w:r w:rsidR="001E09C3">
        <w:rPr>
          <w:szCs w:val="24"/>
        </w:rPr>
        <w:t xml:space="preserve"> pagal priedą.</w:t>
      </w:r>
    </w:p>
    <w:p w:rsidR="00AB06A5" w:rsidRDefault="00AB06A5" w:rsidP="00AB06A5">
      <w:pPr>
        <w:jc w:val="both"/>
      </w:pPr>
      <w:r>
        <w:rPr>
          <w:szCs w:val="24"/>
        </w:rPr>
        <w:tab/>
        <w:t xml:space="preserve">2. </w:t>
      </w:r>
      <w:r>
        <w:t xml:space="preserve">Įgalioti </w:t>
      </w:r>
      <w:r w:rsidR="00A13702">
        <w:t xml:space="preserve">savivaldybės administracijos direktorių </w:t>
      </w:r>
      <w:r>
        <w:t>pasirašyti sprendimo 1 punkte nurodyto turto perdavimo-priėmimo aktą.</w:t>
      </w: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  <w:r>
        <w:t>Savivaldybės meras</w:t>
      </w:r>
      <w:r>
        <w:tab/>
      </w:r>
      <w:r>
        <w:tab/>
      </w:r>
      <w:r w:rsidR="007B31FC">
        <w:tab/>
      </w:r>
      <w:r w:rsidR="007B31FC">
        <w:tab/>
      </w:r>
      <w:r w:rsidR="007B31FC">
        <w:tab/>
        <w:t xml:space="preserve">     </w:t>
      </w:r>
      <w:r w:rsidR="00DD1FD6" w:rsidRPr="00DD1FD6">
        <w:rPr>
          <w:szCs w:val="24"/>
        </w:rPr>
        <w:t>Juozas Mažeika</w:t>
      </w:r>
      <w:r>
        <w:tab/>
      </w:r>
      <w:r>
        <w:tab/>
        <w:t xml:space="preserve">       </w:t>
      </w: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</w:pPr>
    </w:p>
    <w:p w:rsidR="001A7B2F" w:rsidRDefault="001A7B2F" w:rsidP="00AB06A5">
      <w:pPr>
        <w:jc w:val="both"/>
      </w:pPr>
    </w:p>
    <w:p w:rsidR="001A7B2F" w:rsidRDefault="001A7B2F" w:rsidP="00AB06A5">
      <w:pPr>
        <w:jc w:val="both"/>
      </w:pPr>
    </w:p>
    <w:p w:rsidR="001A7B2F" w:rsidRDefault="001A7B2F" w:rsidP="00AB06A5">
      <w:pPr>
        <w:jc w:val="both"/>
      </w:pPr>
    </w:p>
    <w:p w:rsidR="00441106" w:rsidRDefault="00441106" w:rsidP="00AB06A5">
      <w:pPr>
        <w:jc w:val="both"/>
      </w:pPr>
    </w:p>
    <w:p w:rsidR="001A7B2F" w:rsidRDefault="001A7B2F" w:rsidP="00AB06A5">
      <w:pPr>
        <w:jc w:val="both"/>
      </w:pPr>
    </w:p>
    <w:p w:rsidR="00AB06A5" w:rsidRDefault="00AB06A5" w:rsidP="00AB06A5">
      <w:pPr>
        <w:jc w:val="both"/>
      </w:pPr>
    </w:p>
    <w:p w:rsidR="00AB06A5" w:rsidRDefault="00AB06A5" w:rsidP="00AB06A5">
      <w:pPr>
        <w:jc w:val="both"/>
        <w:rPr>
          <w:rFonts w:ascii="Calibri" w:eastAsia="Calibri" w:hAnsi="Calibri"/>
          <w:sz w:val="22"/>
          <w:szCs w:val="22"/>
        </w:rPr>
      </w:pPr>
      <w:r>
        <w:t>Nijolė Vaičienė</w:t>
      </w:r>
      <w:r>
        <w:tab/>
      </w:r>
      <w:r>
        <w:tab/>
        <w:t xml:space="preserve">  </w:t>
      </w:r>
      <w:r>
        <w:tab/>
      </w:r>
      <w:r>
        <w:tab/>
      </w:r>
    </w:p>
    <w:p w:rsidR="00AB06A5" w:rsidRDefault="00AB06A5" w:rsidP="00AB06A5">
      <w:pPr>
        <w:jc w:val="both"/>
        <w:rPr>
          <w:szCs w:val="24"/>
        </w:rPr>
      </w:pPr>
    </w:p>
    <w:p w:rsidR="00AB06A5" w:rsidRDefault="00AB06A5" w:rsidP="00AB06A5">
      <w:pPr>
        <w:jc w:val="both"/>
        <w:rPr>
          <w:szCs w:val="24"/>
        </w:rPr>
      </w:pPr>
    </w:p>
    <w:p w:rsidR="00A13702" w:rsidRDefault="002C6F73" w:rsidP="00AB06A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13702">
        <w:rPr>
          <w:szCs w:val="24"/>
        </w:rPr>
        <w:t>Kretingos rajono savivaldybės tarybos</w:t>
      </w:r>
    </w:p>
    <w:p w:rsidR="00A13702" w:rsidRDefault="002C6F73" w:rsidP="00AB06A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13702">
        <w:rPr>
          <w:szCs w:val="24"/>
        </w:rPr>
        <w:t xml:space="preserve">2017 m. kovo </w:t>
      </w:r>
      <w:r w:rsidR="001A7B2F">
        <w:rPr>
          <w:szCs w:val="24"/>
        </w:rPr>
        <w:t xml:space="preserve">30 </w:t>
      </w:r>
      <w:r w:rsidR="00A13702">
        <w:rPr>
          <w:szCs w:val="24"/>
        </w:rPr>
        <w:t>d. sprendimo Nr. T2-</w:t>
      </w:r>
      <w:r w:rsidR="0031538A">
        <w:rPr>
          <w:szCs w:val="24"/>
        </w:rPr>
        <w:t>128</w:t>
      </w:r>
      <w:bookmarkStart w:id="0" w:name="_GoBack"/>
      <w:bookmarkEnd w:id="0"/>
    </w:p>
    <w:p w:rsidR="00A13702" w:rsidRDefault="002C6F73" w:rsidP="00AB06A5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A13702">
        <w:rPr>
          <w:szCs w:val="24"/>
        </w:rPr>
        <w:t>priedas</w:t>
      </w:r>
    </w:p>
    <w:p w:rsidR="00A13702" w:rsidRDefault="00A13702" w:rsidP="00AB06A5">
      <w:pPr>
        <w:jc w:val="both"/>
        <w:rPr>
          <w:szCs w:val="24"/>
        </w:rPr>
      </w:pPr>
    </w:p>
    <w:p w:rsidR="001A7B2F" w:rsidRDefault="001A7B2F" w:rsidP="00AB06A5">
      <w:pPr>
        <w:jc w:val="both"/>
        <w:rPr>
          <w:szCs w:val="24"/>
        </w:rPr>
      </w:pPr>
    </w:p>
    <w:p w:rsidR="00A13702" w:rsidRDefault="00A13702" w:rsidP="00A13702">
      <w:pPr>
        <w:jc w:val="center"/>
        <w:rPr>
          <w:b/>
          <w:szCs w:val="24"/>
        </w:rPr>
      </w:pPr>
      <w:r w:rsidRPr="00A13702">
        <w:rPr>
          <w:b/>
          <w:szCs w:val="24"/>
        </w:rPr>
        <w:t>KRETINGOS RAJONO SAVIVALDYBEI PERDUODAMO TURTO SĄRAŠAS</w:t>
      </w:r>
    </w:p>
    <w:p w:rsidR="00A13702" w:rsidRDefault="00A13702" w:rsidP="00A13702">
      <w:pPr>
        <w:jc w:val="center"/>
        <w:rPr>
          <w:b/>
          <w:szCs w:val="24"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93"/>
        <w:gridCol w:w="850"/>
        <w:gridCol w:w="1276"/>
        <w:gridCol w:w="1589"/>
        <w:gridCol w:w="1553"/>
        <w:gridCol w:w="9"/>
      </w:tblGrid>
      <w:tr w:rsidR="002C6F73" w:rsidRPr="00635201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Eil. Nr.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Turto pavadinimas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Mato vienetas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Kiekis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Vertė (Eurais)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Turto grupė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Finansavimo šaltinis</w:t>
            </w:r>
          </w:p>
        </w:tc>
      </w:tr>
      <w:tr w:rsidR="002C6F73" w:rsidTr="00592625">
        <w:trPr>
          <w:gridAfter w:val="1"/>
          <w:wAfter w:w="9" w:type="dxa"/>
          <w:trHeight w:hRule="exact" w:val="535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92625">
              <w:rPr>
                <w:rFonts w:ascii="Times New Roman" w:hAnsi="Times New Roman"/>
                <w:color w:val="000000"/>
              </w:rPr>
              <w:t>Salantų miesto centro rekonstrukcija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fldChar w:fldCharType="begin"/>
            </w:r>
            <w:r w:rsidRPr="00592625">
              <w:rPr>
                <w:sz w:val="22"/>
                <w:szCs w:val="22"/>
              </w:rPr>
              <w:instrText xml:space="preserve"> =SUM(ABOVE) </w:instrText>
            </w:r>
            <w:r w:rsidRPr="00592625">
              <w:rPr>
                <w:sz w:val="22"/>
                <w:szCs w:val="22"/>
              </w:rPr>
              <w:fldChar w:fldCharType="separate"/>
            </w:r>
            <w:r w:rsidRPr="00592625">
              <w:rPr>
                <w:noProof/>
                <w:sz w:val="22"/>
                <w:szCs w:val="22"/>
              </w:rPr>
              <w:t>161202,5</w:t>
            </w:r>
            <w:r w:rsidRPr="00592625">
              <w:rPr>
                <w:sz w:val="22"/>
                <w:szCs w:val="22"/>
              </w:rPr>
              <w:fldChar w:fldCharType="end"/>
            </w:r>
            <w:r w:rsidRPr="00592625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Infrastruktūros statiniai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592625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 xml:space="preserve">ES struktūrinių fondų lėšos </w:t>
            </w:r>
          </w:p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– 149105,90 Eur,</w:t>
            </w:r>
          </w:p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</w:p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 xml:space="preserve">Savivaldybės biudžeto lėšos – </w:t>
            </w:r>
            <w:r w:rsidRPr="00592625">
              <w:rPr>
                <w:color w:val="000000"/>
                <w:sz w:val="22"/>
                <w:szCs w:val="22"/>
              </w:rPr>
              <w:t>12096,60</w:t>
            </w:r>
            <w:r w:rsidRPr="00592625">
              <w:rPr>
                <w:sz w:val="22"/>
                <w:szCs w:val="22"/>
              </w:rPr>
              <w:t xml:space="preserve"> Eur</w:t>
            </w:r>
          </w:p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</w:p>
        </w:tc>
      </w:tr>
      <w:tr w:rsidR="002C6F73" w:rsidRPr="00635201" w:rsidTr="00592625">
        <w:trPr>
          <w:gridAfter w:val="1"/>
          <w:wAfter w:w="9" w:type="dxa"/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592625">
              <w:rPr>
                <w:rFonts w:ascii="Times New Roman" w:hAnsi="Times New Roman"/>
                <w:color w:val="000000"/>
              </w:rPr>
              <w:t>Šaligatviai –</w:t>
            </w:r>
            <w:r w:rsidR="00592625" w:rsidRPr="00592625">
              <w:rPr>
                <w:rFonts w:ascii="Times New Roman" w:hAnsi="Times New Roman"/>
                <w:color w:val="000000"/>
              </w:rPr>
              <w:t xml:space="preserve"> </w:t>
            </w:r>
            <w:r w:rsidRPr="00592625">
              <w:rPr>
                <w:rFonts w:ascii="Times New Roman" w:hAnsi="Times New Roman"/>
                <w:color w:val="000000"/>
              </w:rPr>
              <w:t>(senami</w:t>
            </w:r>
            <w:r w:rsidR="00592625" w:rsidRPr="00592625">
              <w:rPr>
                <w:rFonts w:ascii="Times New Roman" w:hAnsi="Times New Roman"/>
                <w:color w:val="000000"/>
              </w:rPr>
              <w:t>esčio tipo grindinio trinkelės)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m</w:t>
            </w:r>
            <w:r w:rsidRPr="00592625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Pėsči</w:t>
            </w:r>
            <w:r w:rsidR="00592625" w:rsidRPr="00592625">
              <w:rPr>
                <w:color w:val="000000"/>
                <w:sz w:val="22"/>
                <w:szCs w:val="22"/>
              </w:rPr>
              <w:t>ųjų takai (klinkerio trinkelės)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m</w:t>
            </w:r>
            <w:r w:rsidRPr="00592625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  <w:trHeight w:val="687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1.3.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Įvažiavimai į kiemus ir prie namų (senami</w:t>
            </w:r>
            <w:r w:rsidR="00592625" w:rsidRPr="00592625">
              <w:rPr>
                <w:color w:val="000000"/>
                <w:sz w:val="22"/>
                <w:szCs w:val="22"/>
              </w:rPr>
              <w:t>esčio tipo grindinio trinkelės)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m</w:t>
            </w:r>
            <w:r w:rsidRPr="00592625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1.4.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592625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Veja (atspari mindžiojimui)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m</w:t>
            </w:r>
            <w:r w:rsidRPr="00592625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1616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1.5.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Automobilių stov</w:t>
            </w:r>
            <w:r w:rsidR="00592625" w:rsidRPr="00592625">
              <w:rPr>
                <w:color w:val="000000"/>
                <w:sz w:val="22"/>
                <w:szCs w:val="22"/>
              </w:rPr>
              <w:t>ėjimo aikštelės (asfaltbetonas)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m</w:t>
            </w:r>
            <w:r w:rsidRPr="00592625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RPr="00635201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1.6.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592625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Medžiai (grauželinės gudobelės)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1.7.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 xml:space="preserve">Gėlinės </w:t>
            </w:r>
            <w:r w:rsidR="00592625" w:rsidRPr="00592625">
              <w:rPr>
                <w:color w:val="000000"/>
                <w:sz w:val="22"/>
                <w:szCs w:val="22"/>
              </w:rPr>
              <w:t xml:space="preserve">(metalinės, </w:t>
            </w:r>
            <w:r w:rsidRPr="00592625">
              <w:rPr>
                <w:color w:val="000000"/>
                <w:sz w:val="22"/>
                <w:szCs w:val="22"/>
              </w:rPr>
              <w:t>skersmuo apie 120 cm)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1.8.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Suoliukai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1.9.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Šiukšliadėžės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1.10.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Dviračių stovai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1.11.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Informacinis stendas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Tr="00592625">
        <w:trPr>
          <w:gridAfter w:val="1"/>
          <w:wAfter w:w="9" w:type="dxa"/>
        </w:trPr>
        <w:tc>
          <w:tcPr>
            <w:tcW w:w="709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sz w:val="22"/>
                <w:szCs w:val="22"/>
              </w:rPr>
            </w:pPr>
            <w:r w:rsidRPr="00592625">
              <w:rPr>
                <w:sz w:val="22"/>
                <w:szCs w:val="22"/>
              </w:rPr>
              <w:t>1.12.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Mažosios architektūros statinys (laikrodis)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vnt.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6F73" w:rsidRPr="00592625" w:rsidRDefault="002C6F73" w:rsidP="00592625">
            <w:pPr>
              <w:jc w:val="center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2C6F73" w:rsidRPr="00592625" w:rsidRDefault="002C6F73" w:rsidP="0059262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C6F73" w:rsidRPr="00635201" w:rsidTr="00592625">
        <w:tc>
          <w:tcPr>
            <w:tcW w:w="5245" w:type="dxa"/>
            <w:gridSpan w:val="4"/>
            <w:shd w:val="clear" w:color="auto" w:fill="auto"/>
            <w:vAlign w:val="center"/>
          </w:tcPr>
          <w:p w:rsidR="002C6F73" w:rsidRPr="00592625" w:rsidRDefault="002C6F73" w:rsidP="00592625">
            <w:pPr>
              <w:jc w:val="right"/>
              <w:rPr>
                <w:color w:val="000000"/>
                <w:sz w:val="22"/>
                <w:szCs w:val="22"/>
              </w:rPr>
            </w:pPr>
            <w:r w:rsidRPr="00592625">
              <w:rPr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276" w:type="dxa"/>
            <w:shd w:val="clear" w:color="auto" w:fill="auto"/>
          </w:tcPr>
          <w:p w:rsidR="002C6F73" w:rsidRPr="00592625" w:rsidRDefault="002C6F73" w:rsidP="00592625">
            <w:pPr>
              <w:rPr>
                <w:sz w:val="22"/>
                <w:szCs w:val="22"/>
                <w:lang w:val="en-US"/>
              </w:rPr>
            </w:pPr>
            <w:r w:rsidRPr="00592625">
              <w:rPr>
                <w:sz w:val="22"/>
                <w:szCs w:val="22"/>
              </w:rPr>
              <w:fldChar w:fldCharType="begin"/>
            </w:r>
            <w:r w:rsidRPr="00592625">
              <w:rPr>
                <w:sz w:val="22"/>
                <w:szCs w:val="22"/>
              </w:rPr>
              <w:instrText xml:space="preserve"> =SUM(ABOVE) </w:instrText>
            </w:r>
            <w:r w:rsidRPr="00592625">
              <w:rPr>
                <w:sz w:val="22"/>
                <w:szCs w:val="22"/>
              </w:rPr>
              <w:fldChar w:fldCharType="separate"/>
            </w:r>
            <w:r w:rsidRPr="00592625">
              <w:rPr>
                <w:noProof/>
                <w:sz w:val="22"/>
                <w:szCs w:val="22"/>
              </w:rPr>
              <w:t>161202,5</w:t>
            </w:r>
            <w:r w:rsidRPr="00592625">
              <w:rPr>
                <w:sz w:val="22"/>
                <w:szCs w:val="22"/>
              </w:rPr>
              <w:fldChar w:fldCharType="end"/>
            </w:r>
            <w:r w:rsidRPr="00592625">
              <w:rPr>
                <w:sz w:val="22"/>
                <w:szCs w:val="22"/>
              </w:rPr>
              <w:t>0</w:t>
            </w:r>
          </w:p>
        </w:tc>
        <w:tc>
          <w:tcPr>
            <w:tcW w:w="1589" w:type="dxa"/>
            <w:shd w:val="clear" w:color="auto" w:fill="auto"/>
          </w:tcPr>
          <w:p w:rsidR="002C6F73" w:rsidRPr="00592625" w:rsidRDefault="002C6F73" w:rsidP="00592625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gridSpan w:val="2"/>
            <w:shd w:val="clear" w:color="auto" w:fill="auto"/>
          </w:tcPr>
          <w:p w:rsidR="002C6F73" w:rsidRPr="00592625" w:rsidRDefault="002C6F73" w:rsidP="00592625">
            <w:pPr>
              <w:rPr>
                <w:sz w:val="22"/>
                <w:szCs w:val="22"/>
              </w:rPr>
            </w:pPr>
          </w:p>
        </w:tc>
      </w:tr>
    </w:tbl>
    <w:p w:rsidR="00A13702" w:rsidRDefault="00A13702" w:rsidP="00A13702">
      <w:pPr>
        <w:jc w:val="center"/>
        <w:rPr>
          <w:b/>
          <w:szCs w:val="24"/>
        </w:rPr>
      </w:pPr>
    </w:p>
    <w:p w:rsidR="008B3AB4" w:rsidRDefault="00592625" w:rsidP="00A13702">
      <w:pPr>
        <w:jc w:val="center"/>
        <w:rPr>
          <w:b/>
          <w:szCs w:val="24"/>
        </w:rPr>
      </w:pPr>
      <w:r>
        <w:rPr>
          <w:b/>
          <w:szCs w:val="24"/>
        </w:rPr>
        <w:t xml:space="preserve">________________________________________ </w:t>
      </w:r>
    </w:p>
    <w:p w:rsidR="008B3AB4" w:rsidRDefault="008B3AB4" w:rsidP="00A13702">
      <w:pPr>
        <w:jc w:val="center"/>
        <w:rPr>
          <w:b/>
          <w:szCs w:val="24"/>
        </w:rPr>
      </w:pPr>
    </w:p>
    <w:p w:rsidR="008B3AB4" w:rsidRDefault="008B3AB4" w:rsidP="00A13702">
      <w:pPr>
        <w:jc w:val="center"/>
        <w:rPr>
          <w:b/>
          <w:szCs w:val="24"/>
        </w:rPr>
      </w:pPr>
    </w:p>
    <w:p w:rsidR="008B3AB4" w:rsidRDefault="008B3AB4" w:rsidP="00A13702">
      <w:pPr>
        <w:jc w:val="center"/>
        <w:rPr>
          <w:b/>
          <w:szCs w:val="24"/>
        </w:rPr>
      </w:pPr>
    </w:p>
    <w:p w:rsidR="00592625" w:rsidRDefault="00592625" w:rsidP="00A13702">
      <w:pPr>
        <w:jc w:val="center"/>
        <w:rPr>
          <w:b/>
          <w:szCs w:val="24"/>
        </w:rPr>
      </w:pPr>
    </w:p>
    <w:p w:rsidR="00592625" w:rsidRDefault="00592625" w:rsidP="00A13702">
      <w:pPr>
        <w:jc w:val="center"/>
        <w:rPr>
          <w:b/>
          <w:szCs w:val="24"/>
        </w:rPr>
      </w:pPr>
    </w:p>
    <w:p w:rsidR="00592625" w:rsidRDefault="00592625" w:rsidP="00A13702">
      <w:pPr>
        <w:jc w:val="center"/>
        <w:rPr>
          <w:b/>
          <w:szCs w:val="24"/>
        </w:rPr>
      </w:pPr>
    </w:p>
    <w:p w:rsidR="00592625" w:rsidRDefault="00592625" w:rsidP="00A13702">
      <w:pPr>
        <w:jc w:val="center"/>
        <w:rPr>
          <w:b/>
          <w:szCs w:val="24"/>
        </w:rPr>
      </w:pPr>
    </w:p>
    <w:p w:rsidR="00592625" w:rsidRDefault="00592625" w:rsidP="00A13702">
      <w:pPr>
        <w:jc w:val="center"/>
        <w:rPr>
          <w:b/>
          <w:szCs w:val="24"/>
        </w:rPr>
      </w:pPr>
    </w:p>
    <w:p w:rsidR="008B3AB4" w:rsidRDefault="008B3AB4" w:rsidP="00A13702">
      <w:pPr>
        <w:jc w:val="center"/>
        <w:rPr>
          <w:b/>
          <w:szCs w:val="24"/>
        </w:rPr>
      </w:pPr>
    </w:p>
    <w:p w:rsidR="008B3AB4" w:rsidRDefault="008B3AB4" w:rsidP="00A13702">
      <w:pPr>
        <w:jc w:val="center"/>
        <w:rPr>
          <w:b/>
          <w:szCs w:val="24"/>
        </w:rPr>
      </w:pPr>
    </w:p>
    <w:p w:rsidR="008B3AB4" w:rsidRDefault="008B3AB4" w:rsidP="00A13702">
      <w:pPr>
        <w:jc w:val="center"/>
        <w:rPr>
          <w:b/>
          <w:szCs w:val="24"/>
        </w:rPr>
      </w:pPr>
    </w:p>
    <w:p w:rsidR="008B3AB4" w:rsidRDefault="008B3AB4" w:rsidP="00A13702">
      <w:pPr>
        <w:jc w:val="center"/>
        <w:rPr>
          <w:b/>
          <w:szCs w:val="24"/>
        </w:rPr>
      </w:pPr>
    </w:p>
    <w:sectPr w:rsidR="008B3AB4" w:rsidSect="001A7B2F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A5"/>
    <w:rsid w:val="00067B02"/>
    <w:rsid w:val="00111E0E"/>
    <w:rsid w:val="00180001"/>
    <w:rsid w:val="001A7B2F"/>
    <w:rsid w:val="001E09C3"/>
    <w:rsid w:val="002C6F73"/>
    <w:rsid w:val="0031538A"/>
    <w:rsid w:val="0035053D"/>
    <w:rsid w:val="00421FF7"/>
    <w:rsid w:val="00441106"/>
    <w:rsid w:val="00515055"/>
    <w:rsid w:val="00592625"/>
    <w:rsid w:val="006246D1"/>
    <w:rsid w:val="0077561A"/>
    <w:rsid w:val="007B31FC"/>
    <w:rsid w:val="0086325E"/>
    <w:rsid w:val="008B3AB4"/>
    <w:rsid w:val="00A13702"/>
    <w:rsid w:val="00A23C13"/>
    <w:rsid w:val="00AB06A5"/>
    <w:rsid w:val="00AC2092"/>
    <w:rsid w:val="00BB136B"/>
    <w:rsid w:val="00D02FEF"/>
    <w:rsid w:val="00DB4589"/>
    <w:rsid w:val="00DD094E"/>
    <w:rsid w:val="00DD1FD6"/>
    <w:rsid w:val="00ED7480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6A94"/>
  <w15:chartTrackingRefBased/>
  <w15:docId w15:val="{E9A108EF-B843-4934-814D-D1A9B313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AB06A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B06A5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AB06A5"/>
    <w:rPr>
      <w:rFonts w:eastAsia="Times New Roman"/>
      <w:sz w:val="24"/>
      <w:lang w:val="en-US" w:eastAsia="en-US"/>
    </w:rPr>
  </w:style>
  <w:style w:type="table" w:styleId="Lentelstinklelis">
    <w:name w:val="Table Grid"/>
    <w:basedOn w:val="prastojilentel"/>
    <w:uiPriority w:val="39"/>
    <w:rsid w:val="002C6F7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C6F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cp:lastPrinted>2017-02-21T12:48:00Z</cp:lastPrinted>
  <dcterms:created xsi:type="dcterms:W3CDTF">2017-03-09T07:23:00Z</dcterms:created>
  <dcterms:modified xsi:type="dcterms:W3CDTF">2017-04-03T10:56:00Z</dcterms:modified>
</cp:coreProperties>
</file>