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Layout w:type="fixed"/>
        <w:tblLook w:val="0000" w:firstRow="0" w:lastRow="0" w:firstColumn="0" w:lastColumn="0" w:noHBand="0" w:noVBand="0"/>
      </w:tblPr>
      <w:tblGrid>
        <w:gridCol w:w="10203"/>
      </w:tblGrid>
      <w:tr w:rsidR="007050B9" w:rsidTr="00131810">
        <w:trPr>
          <w:trHeight w:val="1744"/>
          <w:tblHeader/>
        </w:trPr>
        <w:tc>
          <w:tcPr>
            <w:tcW w:w="10203" w:type="dxa"/>
          </w:tcPr>
          <w:p w:rsidR="00C8329D" w:rsidRDefault="00402A14" w:rsidP="00C8329D">
            <w:pPr>
              <w:jc w:val="center"/>
              <w:rPr>
                <w:b/>
                <w:caps/>
                <w:sz w:val="28"/>
                <w:lang w:val="en-US"/>
              </w:rPr>
            </w:pPr>
            <w:r>
              <w:rPr>
                <w:b/>
                <w:caps/>
                <w:noProof/>
                <w:lang w:eastAsia="lt-LT"/>
              </w:rPr>
              <w:drawing>
                <wp:inline distT="0" distB="0" distL="0" distR="0">
                  <wp:extent cx="565150" cy="74930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150" cy="749300"/>
                          </a:xfrm>
                          <a:prstGeom prst="rect">
                            <a:avLst/>
                          </a:prstGeom>
                          <a:noFill/>
                          <a:ln>
                            <a:noFill/>
                          </a:ln>
                        </pic:spPr>
                      </pic:pic>
                    </a:graphicData>
                  </a:graphic>
                </wp:inline>
              </w:drawing>
            </w:r>
          </w:p>
          <w:p w:rsidR="00C8329D" w:rsidRDefault="00C8329D" w:rsidP="00C8329D">
            <w:pPr>
              <w:rPr>
                <w:b/>
                <w:caps/>
                <w:sz w:val="28"/>
              </w:rPr>
            </w:pPr>
          </w:p>
          <w:p w:rsidR="007050B9" w:rsidRDefault="007050B9" w:rsidP="00C8329D">
            <w:pPr>
              <w:jc w:val="center"/>
              <w:rPr>
                <w:b/>
                <w:caps/>
                <w:sz w:val="28"/>
              </w:rPr>
            </w:pPr>
            <w:r>
              <w:rPr>
                <w:b/>
                <w:caps/>
                <w:sz w:val="28"/>
              </w:rPr>
              <w:t>KRETINGOS RAJONO SAVIVALDYBĖS taryba</w:t>
            </w:r>
          </w:p>
          <w:p w:rsidR="007050B9" w:rsidRDefault="007050B9" w:rsidP="00C8329D">
            <w:pPr>
              <w:jc w:val="center"/>
              <w:rPr>
                <w:b/>
                <w:sz w:val="28"/>
                <w:lang w:val="en-US"/>
              </w:rPr>
            </w:pPr>
          </w:p>
        </w:tc>
      </w:tr>
      <w:tr w:rsidR="007050B9" w:rsidRPr="00A73A0A" w:rsidTr="00131810">
        <w:trPr>
          <w:trHeight w:val="1114"/>
        </w:trPr>
        <w:tc>
          <w:tcPr>
            <w:tcW w:w="10203" w:type="dxa"/>
          </w:tcPr>
          <w:p w:rsidR="007050B9" w:rsidRPr="00965168" w:rsidRDefault="007050B9" w:rsidP="00C8329D">
            <w:pPr>
              <w:jc w:val="center"/>
              <w:rPr>
                <w:b/>
                <w:sz w:val="28"/>
                <w:szCs w:val="28"/>
              </w:rPr>
            </w:pPr>
            <w:r w:rsidRPr="00965168">
              <w:rPr>
                <w:b/>
                <w:sz w:val="28"/>
                <w:szCs w:val="28"/>
              </w:rPr>
              <w:t>SPRENDIMAS</w:t>
            </w:r>
          </w:p>
          <w:p w:rsidR="007050B9" w:rsidRPr="00A73A0A" w:rsidRDefault="007050B9" w:rsidP="006D405A">
            <w:pPr>
              <w:jc w:val="center"/>
              <w:rPr>
                <w:b/>
              </w:rPr>
            </w:pPr>
            <w:r w:rsidRPr="00A73A0A">
              <w:rPr>
                <w:b/>
              </w:rPr>
              <w:t xml:space="preserve">DĖL </w:t>
            </w:r>
            <w:r>
              <w:rPr>
                <w:b/>
              </w:rPr>
              <w:t>KRETINGOS RAJONO SAVIVALDYBĖS JAUNIMO REIKALŲ TARYBOS 20</w:t>
            </w:r>
            <w:r w:rsidR="003A184A">
              <w:rPr>
                <w:b/>
              </w:rPr>
              <w:t>15</w:t>
            </w:r>
            <w:r w:rsidRPr="00C47431">
              <w:rPr>
                <w:b/>
              </w:rPr>
              <w:t xml:space="preserve"> M.</w:t>
            </w:r>
            <w:r>
              <w:rPr>
                <w:b/>
              </w:rPr>
              <w:t xml:space="preserve">  VEIKLOS ATASKAITOS PATVIRTINIMO</w:t>
            </w:r>
          </w:p>
          <w:p w:rsidR="007050B9" w:rsidRPr="00A73A0A" w:rsidRDefault="007050B9" w:rsidP="00C8329D">
            <w:pPr>
              <w:jc w:val="center"/>
              <w:rPr>
                <w:b/>
              </w:rPr>
            </w:pPr>
          </w:p>
        </w:tc>
      </w:tr>
    </w:tbl>
    <w:p w:rsidR="007050B9" w:rsidRDefault="003A184A" w:rsidP="00C8329D">
      <w:pPr>
        <w:jc w:val="center"/>
      </w:pPr>
      <w:r>
        <w:t xml:space="preserve">2016 m. balandžio </w:t>
      </w:r>
      <w:r w:rsidR="002142AD">
        <w:t>27</w:t>
      </w:r>
      <w:r w:rsidR="007050B9">
        <w:t xml:space="preserve"> d. Nr.</w:t>
      </w:r>
      <w:r w:rsidR="00190F20">
        <w:t xml:space="preserve"> T</w:t>
      </w:r>
      <w:r w:rsidR="002142AD">
        <w:t>2</w:t>
      </w:r>
      <w:r w:rsidR="00190F20">
        <w:t>-</w:t>
      </w:r>
      <w:r w:rsidR="00804CD1">
        <w:t>134</w:t>
      </w:r>
    </w:p>
    <w:p w:rsidR="007050B9" w:rsidRDefault="007050B9" w:rsidP="007050B9">
      <w:pPr>
        <w:jc w:val="center"/>
      </w:pPr>
      <w:r>
        <w:t>Kretinga</w:t>
      </w:r>
    </w:p>
    <w:p w:rsidR="007050B9" w:rsidRDefault="007050B9" w:rsidP="003A184A">
      <w:pPr>
        <w:jc w:val="both"/>
      </w:pPr>
    </w:p>
    <w:p w:rsidR="007050B9" w:rsidRDefault="007050B9" w:rsidP="003A184A">
      <w:pPr>
        <w:ind w:firstLine="1296"/>
        <w:jc w:val="both"/>
      </w:pPr>
      <w:r>
        <w:t xml:space="preserve">Vadovaudamasi </w:t>
      </w:r>
      <w:r w:rsidR="00C8329D">
        <w:t>Kretingos rajono savivaldybės jaunimo reikalų tarybos</w:t>
      </w:r>
      <w:r>
        <w:t xml:space="preserve"> nuostatų</w:t>
      </w:r>
      <w:r w:rsidR="00A74AB3">
        <w:t>,</w:t>
      </w:r>
      <w:r>
        <w:t xml:space="preserve"> </w:t>
      </w:r>
      <w:r w:rsidR="00A74AB3">
        <w:t>patvirtintų K</w:t>
      </w:r>
      <w:r w:rsidR="00965168">
        <w:t xml:space="preserve">retingos </w:t>
      </w:r>
      <w:r w:rsidR="00163843">
        <w:t xml:space="preserve">rajono savivaldybės </w:t>
      </w:r>
      <w:r w:rsidR="00A74AB3">
        <w:t xml:space="preserve">tarybos </w:t>
      </w:r>
      <w:r w:rsidR="00A74AB3" w:rsidRPr="00C47431">
        <w:t>2009 m.</w:t>
      </w:r>
      <w:r w:rsidR="00A74AB3">
        <w:t xml:space="preserve"> birželio </w:t>
      </w:r>
      <w:r w:rsidR="00A74AB3" w:rsidRPr="00C47431">
        <w:t>30 d.</w:t>
      </w:r>
      <w:r w:rsidR="00A74AB3">
        <w:t xml:space="preserve"> sprendimu Nr. T2-208, </w:t>
      </w:r>
      <w:r w:rsidR="00965168">
        <w:t>7.6 punktu, Kretingos</w:t>
      </w:r>
      <w:r>
        <w:t xml:space="preserve"> rajono savivaldybės </w:t>
      </w:r>
      <w:r w:rsidR="00965168">
        <w:t>taryba  n u s p r e n d ž i a:</w:t>
      </w:r>
    </w:p>
    <w:p w:rsidR="007050B9" w:rsidRDefault="00965168" w:rsidP="00965168">
      <w:pPr>
        <w:ind w:firstLine="1296"/>
        <w:jc w:val="both"/>
      </w:pPr>
      <w:r>
        <w:t>P</w:t>
      </w:r>
      <w:r w:rsidR="007050B9">
        <w:t>atvirtinti Kretingos rajono savivaldy</w:t>
      </w:r>
      <w:r w:rsidR="003A184A">
        <w:t>bės jaunimo reikalų tarybos 2015</w:t>
      </w:r>
      <w:r w:rsidR="007050B9" w:rsidRPr="00C47431">
        <w:t xml:space="preserve"> m. </w:t>
      </w:r>
      <w:r>
        <w:t xml:space="preserve">veiklos </w:t>
      </w:r>
      <w:r w:rsidR="007050B9">
        <w:t>ataskaitą</w:t>
      </w:r>
      <w:r w:rsidR="00A74AB3">
        <w:t xml:space="preserve"> (pridedama)</w:t>
      </w:r>
      <w:r w:rsidR="007050B9">
        <w:t>.</w:t>
      </w:r>
    </w:p>
    <w:p w:rsidR="007050B9" w:rsidRDefault="007050B9" w:rsidP="003A184A">
      <w:pPr>
        <w:jc w:val="both"/>
      </w:pPr>
    </w:p>
    <w:p w:rsidR="00190F20" w:rsidRDefault="00190F20" w:rsidP="003A184A">
      <w:pPr>
        <w:jc w:val="both"/>
      </w:pPr>
    </w:p>
    <w:p w:rsidR="007050B9" w:rsidRDefault="007050B9" w:rsidP="007050B9">
      <w:pPr>
        <w:jc w:val="both"/>
      </w:pPr>
      <w:r>
        <w:t xml:space="preserve">Savivaldybės meras </w:t>
      </w:r>
      <w:r w:rsidR="002142AD">
        <w:tab/>
      </w:r>
      <w:r w:rsidR="002142AD">
        <w:tab/>
      </w:r>
      <w:r w:rsidR="002142AD">
        <w:tab/>
      </w:r>
      <w:r w:rsidR="002142AD">
        <w:tab/>
      </w:r>
      <w:r w:rsidR="002142AD">
        <w:tab/>
        <w:t xml:space="preserve">               Juozas Mažeika</w:t>
      </w:r>
    </w:p>
    <w:p w:rsidR="007050B9" w:rsidRDefault="007050B9" w:rsidP="007050B9">
      <w:pPr>
        <w:jc w:val="both"/>
      </w:pPr>
    </w:p>
    <w:p w:rsidR="00A24283" w:rsidRDefault="00A24283"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CE7150" w:rsidRDefault="00CE7150"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3A184A" w:rsidRDefault="003A184A"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3A184A" w:rsidRDefault="003A184A"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2142AD" w:rsidRDefault="002142AD"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2142AD" w:rsidRDefault="002142AD"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2142AD" w:rsidRDefault="002142AD"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965168" w:rsidRDefault="00965168" w:rsidP="007050B9">
      <w:pPr>
        <w:pStyle w:val="prastasistinklapis"/>
        <w:spacing w:before="0" w:beforeAutospacing="0" w:after="0" w:afterAutospacing="0"/>
        <w:ind w:left="6481"/>
        <w:rPr>
          <w:rStyle w:val="mtextantraste1"/>
          <w:rFonts w:ascii="Times New Roman" w:hAnsi="Times New Roman" w:cs="Times New Roman"/>
          <w:bCs w:val="0"/>
          <w:color w:val="auto"/>
          <w:sz w:val="24"/>
          <w:szCs w:val="24"/>
        </w:rPr>
      </w:pPr>
    </w:p>
    <w:p w:rsidR="00965168" w:rsidRDefault="00A563DC" w:rsidP="00621D1B">
      <w:pPr>
        <w:pStyle w:val="prastasistinklapis"/>
        <w:spacing w:before="0" w:beforeAutospacing="0" w:after="0" w:afterAutospacing="0"/>
        <w:rPr>
          <w:rStyle w:val="mtextantraste1"/>
          <w:rFonts w:ascii="Times New Roman" w:hAnsi="Times New Roman" w:cs="Times New Roman"/>
          <w:b w:val="0"/>
          <w:bCs w:val="0"/>
          <w:color w:val="auto"/>
          <w:sz w:val="24"/>
          <w:szCs w:val="24"/>
        </w:rPr>
        <w:sectPr w:rsidR="00965168" w:rsidSect="008D7313">
          <w:headerReference w:type="even" r:id="rId9"/>
          <w:headerReference w:type="default" r:id="rId10"/>
          <w:footerReference w:type="even" r:id="rId11"/>
          <w:footerReference w:type="default" r:id="rId12"/>
          <w:headerReference w:type="first" r:id="rId13"/>
          <w:pgSz w:w="12240" w:h="15840" w:code="1"/>
          <w:pgMar w:top="1259" w:right="720" w:bottom="720" w:left="1259" w:header="709" w:footer="709" w:gutter="0"/>
          <w:pgNumType w:start="1"/>
          <w:cols w:space="1296"/>
          <w:titlePg/>
          <w:docGrid w:linePitch="360"/>
        </w:sectPr>
      </w:pPr>
      <w:r w:rsidRPr="00A563DC">
        <w:rPr>
          <w:rStyle w:val="mtextantraste1"/>
          <w:rFonts w:ascii="Times New Roman" w:hAnsi="Times New Roman" w:cs="Times New Roman"/>
          <w:b w:val="0"/>
          <w:bCs w:val="0"/>
          <w:color w:val="auto"/>
          <w:sz w:val="24"/>
          <w:szCs w:val="24"/>
        </w:rPr>
        <w:t>D</w:t>
      </w:r>
      <w:r w:rsidR="00190F20">
        <w:rPr>
          <w:rStyle w:val="mtextantraste1"/>
          <w:rFonts w:ascii="Times New Roman" w:hAnsi="Times New Roman" w:cs="Times New Roman"/>
          <w:b w:val="0"/>
          <w:bCs w:val="0"/>
          <w:color w:val="auto"/>
          <w:sz w:val="24"/>
          <w:szCs w:val="24"/>
        </w:rPr>
        <w:t>iana</w:t>
      </w:r>
      <w:r w:rsidRPr="00A563DC">
        <w:rPr>
          <w:rStyle w:val="mtextantraste1"/>
          <w:rFonts w:ascii="Times New Roman" w:hAnsi="Times New Roman" w:cs="Times New Roman"/>
          <w:b w:val="0"/>
          <w:bCs w:val="0"/>
          <w:color w:val="auto"/>
          <w:sz w:val="24"/>
          <w:szCs w:val="24"/>
        </w:rPr>
        <w:t xml:space="preserve"> L</w:t>
      </w:r>
      <w:r w:rsidR="00190F20">
        <w:rPr>
          <w:rStyle w:val="mtextantraste1"/>
          <w:rFonts w:ascii="Times New Roman" w:hAnsi="Times New Roman" w:cs="Times New Roman"/>
          <w:b w:val="0"/>
          <w:bCs w:val="0"/>
          <w:color w:val="auto"/>
          <w:sz w:val="24"/>
          <w:szCs w:val="24"/>
        </w:rPr>
        <w:t>aimutė</w:t>
      </w:r>
      <w:r w:rsidRPr="00A563DC">
        <w:rPr>
          <w:rStyle w:val="mtextantraste1"/>
          <w:rFonts w:ascii="Times New Roman" w:hAnsi="Times New Roman" w:cs="Times New Roman"/>
          <w:b w:val="0"/>
          <w:bCs w:val="0"/>
          <w:color w:val="auto"/>
          <w:sz w:val="24"/>
          <w:szCs w:val="24"/>
        </w:rPr>
        <w:t xml:space="preserve"> Garjonienė</w:t>
      </w:r>
    </w:p>
    <w:p w:rsidR="00965168" w:rsidRDefault="00965168" w:rsidP="000B7F74">
      <w:pPr>
        <w:ind w:left="5103"/>
        <w:rPr>
          <w:rFonts w:eastAsia="Calibri"/>
        </w:rPr>
      </w:pPr>
    </w:p>
    <w:p w:rsidR="000B7F74" w:rsidRPr="000B7F74" w:rsidRDefault="000B7F74" w:rsidP="000B7F74">
      <w:pPr>
        <w:ind w:left="5103"/>
        <w:rPr>
          <w:rFonts w:eastAsia="Calibri"/>
        </w:rPr>
      </w:pPr>
      <w:r w:rsidRPr="000B7F74">
        <w:rPr>
          <w:rFonts w:eastAsia="Calibri"/>
        </w:rPr>
        <w:t>PATVIRTINTA</w:t>
      </w:r>
    </w:p>
    <w:p w:rsidR="000B7F74" w:rsidRPr="000B7F74" w:rsidRDefault="000B7F74" w:rsidP="000B7F74">
      <w:pPr>
        <w:ind w:left="5103"/>
        <w:rPr>
          <w:rFonts w:eastAsia="Calibri"/>
        </w:rPr>
      </w:pPr>
      <w:r w:rsidRPr="000B7F74">
        <w:rPr>
          <w:rFonts w:eastAsia="Calibri"/>
        </w:rPr>
        <w:t>Kretingos rajono savivaldybės tarybos</w:t>
      </w:r>
    </w:p>
    <w:p w:rsidR="000B7F74" w:rsidRPr="000B7F74" w:rsidRDefault="000B7F74" w:rsidP="000B7F74">
      <w:pPr>
        <w:ind w:left="5103"/>
        <w:rPr>
          <w:rFonts w:eastAsia="Calibri"/>
        </w:rPr>
      </w:pPr>
      <w:r w:rsidRPr="000B7F74">
        <w:rPr>
          <w:rFonts w:eastAsia="Calibri"/>
        </w:rPr>
        <w:t>2016  m. balandžio 2</w:t>
      </w:r>
      <w:r w:rsidR="002142AD">
        <w:rPr>
          <w:rFonts w:eastAsia="Calibri"/>
        </w:rPr>
        <w:t>7</w:t>
      </w:r>
      <w:r w:rsidRPr="000B7F74">
        <w:rPr>
          <w:rFonts w:eastAsia="Calibri"/>
        </w:rPr>
        <w:t xml:space="preserve"> d. sprendimu Nr. </w:t>
      </w:r>
      <w:r w:rsidR="00190F20">
        <w:rPr>
          <w:rFonts w:eastAsia="Calibri"/>
        </w:rPr>
        <w:t>T2-</w:t>
      </w:r>
      <w:r w:rsidR="00804CD1">
        <w:rPr>
          <w:rFonts w:eastAsia="Calibri"/>
        </w:rPr>
        <w:t>134</w:t>
      </w:r>
      <w:bookmarkStart w:id="0" w:name="_GoBack"/>
      <w:bookmarkEnd w:id="0"/>
    </w:p>
    <w:p w:rsidR="000B7F74" w:rsidRPr="000B7F74" w:rsidRDefault="000B7F74" w:rsidP="000B7F74">
      <w:pPr>
        <w:jc w:val="both"/>
        <w:rPr>
          <w:rFonts w:eastAsia="Calibri"/>
        </w:rPr>
      </w:pPr>
    </w:p>
    <w:p w:rsidR="000B7F74" w:rsidRPr="000B7F74" w:rsidRDefault="000B7F74" w:rsidP="000B7F74">
      <w:pPr>
        <w:spacing w:after="200" w:line="276" w:lineRule="auto"/>
        <w:jc w:val="center"/>
        <w:rPr>
          <w:rFonts w:eastAsia="Calibri"/>
          <w:b/>
        </w:rPr>
      </w:pPr>
      <w:r w:rsidRPr="000B7F74">
        <w:rPr>
          <w:rFonts w:eastAsia="Calibri"/>
          <w:b/>
          <w:lang w:val="es-ES"/>
        </w:rPr>
        <w:t>KRETINGOS RAJONO SAVIVALDYB</w:t>
      </w:r>
      <w:r w:rsidRPr="000B7F74">
        <w:rPr>
          <w:rFonts w:eastAsia="Calibri"/>
          <w:b/>
        </w:rPr>
        <w:t xml:space="preserve">ĖS JAUNIMO REIKALŲ TARYBOS </w:t>
      </w:r>
      <w:r w:rsidRPr="000B7F74">
        <w:rPr>
          <w:rFonts w:eastAsia="Calibri"/>
          <w:b/>
          <w:lang w:val="es-ES"/>
        </w:rPr>
        <w:t>201</w:t>
      </w:r>
      <w:r w:rsidRPr="000B7F74">
        <w:rPr>
          <w:rFonts w:eastAsia="Calibri"/>
          <w:b/>
        </w:rPr>
        <w:t>5</w:t>
      </w:r>
      <w:r w:rsidRPr="000B7F74">
        <w:rPr>
          <w:rFonts w:eastAsia="Calibri"/>
          <w:b/>
          <w:lang w:val="es-ES"/>
        </w:rPr>
        <w:t xml:space="preserve"> M. </w:t>
      </w:r>
      <w:r w:rsidRPr="000B7F74">
        <w:rPr>
          <w:rFonts w:eastAsia="Calibri"/>
          <w:b/>
        </w:rPr>
        <w:t>VEIKLOS ATASKAITA</w:t>
      </w:r>
    </w:p>
    <w:p w:rsidR="000B7F74" w:rsidRPr="000B7F74" w:rsidRDefault="000B7F74" w:rsidP="000B7F74">
      <w:pPr>
        <w:spacing w:line="360" w:lineRule="auto"/>
        <w:ind w:firstLine="851"/>
        <w:jc w:val="both"/>
        <w:rPr>
          <w:rFonts w:eastAsia="Calibri"/>
        </w:rPr>
      </w:pPr>
      <w:r w:rsidRPr="000B7F74">
        <w:rPr>
          <w:rFonts w:eastAsia="Calibri"/>
        </w:rPr>
        <w:t xml:space="preserve">Kretingos rajono savivaldybės jaunimo reikalų taryba sudaryta rajono jaunimo politikai formuoti, koordinuoti ir jai įgyvendinti. Vadovaudamasi Kretingos rajono savivaldybės tarybos 2013 m. vasario 28 d. sprendimu Nr. T2-79 ,,Dėl </w:t>
      </w:r>
      <w:r w:rsidRPr="000B7F74">
        <w:rPr>
          <w:rFonts w:eastAsia="Calibri"/>
          <w:bCs/>
          <w:color w:val="000000"/>
        </w:rPr>
        <w:t>jaunimo problemų sprendimo Kretingos rajono savivaldybėje 2013-2018 m. plano patvirtinimo“, 2014 m. sausio 30 d. sprendimu Nr. T2-25 ,,Dėl Kretingos rajono savivaldybės</w:t>
      </w:r>
      <w:r w:rsidRPr="000B7F74">
        <w:rPr>
          <w:rFonts w:eastAsia="Calibri"/>
          <w:b/>
          <w:bCs/>
          <w:color w:val="000000"/>
        </w:rPr>
        <w:t xml:space="preserve"> </w:t>
      </w:r>
      <w:r w:rsidRPr="000B7F74">
        <w:rPr>
          <w:rFonts w:eastAsia="Calibri"/>
        </w:rPr>
        <w:t>jaunimo politikos įgyvendinimo 20</w:t>
      </w:r>
      <w:r w:rsidRPr="000B7F74">
        <w:rPr>
          <w:rFonts w:eastAsia="Calibri"/>
          <w:lang w:val="en-US"/>
        </w:rPr>
        <w:t>14</w:t>
      </w:r>
      <w:r w:rsidRPr="000B7F74">
        <w:rPr>
          <w:rFonts w:eastAsia="Calibri"/>
        </w:rPr>
        <w:t>–2016 m. programos patvirtinimo“ bei savivaldybės jaunimo reikalų tarybos sudarytu 2015 m. veiklos planu, Taryba siekė sudaryti sąlygas jaunimo politikai įgyvendinti, jaunimo organizacijų veiklos plėtrai, užtikrinti jaunų žmonių dalyvavimą veiklose, skatinti bendradarbiavimą tarp institucijų bei spręsti iškilusias jaunimo problemas. 2015 m. tarybos sudėtis didėjo iki 10 asmenų.</w:t>
      </w:r>
    </w:p>
    <w:p w:rsidR="000B7F74" w:rsidRPr="000B7F74" w:rsidRDefault="000B7F74" w:rsidP="000B7F74">
      <w:pPr>
        <w:spacing w:line="360" w:lineRule="auto"/>
        <w:ind w:firstLine="851"/>
        <w:jc w:val="both"/>
        <w:rPr>
          <w:rFonts w:eastAsia="Calibri"/>
          <w:b/>
          <w:bCs/>
          <w:color w:val="000000"/>
        </w:rPr>
      </w:pPr>
      <w:r w:rsidRPr="000B7F74">
        <w:rPr>
          <w:rFonts w:eastAsia="Calibri"/>
        </w:rPr>
        <w:t>Savivaldybės jaunimo reikalų taryba prioritetais 2015 m. metiniame veiklos plane nurodė socialinėje atskirtyje esančių jaunų žmonių įtraukimo dalyvauti didinimą, institucijų, dirbančių su jaunimu bendradarbiavimą, jaunimo ir su jaunimu dirbančių nevyriausybinių organizacijų veiklos plėtrą bei atviro darbo su jaunimu stiprinimą organizacijose, vykdančiose atvirų jaunimo erdvių veiklos programas.</w:t>
      </w:r>
    </w:p>
    <w:p w:rsidR="000B7F74" w:rsidRPr="000B7F74" w:rsidRDefault="000B7F74" w:rsidP="000B7F74">
      <w:pPr>
        <w:spacing w:line="360" w:lineRule="auto"/>
        <w:ind w:firstLine="851"/>
        <w:jc w:val="both"/>
        <w:rPr>
          <w:rFonts w:eastAsia="Calibri"/>
          <w:b/>
          <w:bCs/>
          <w:color w:val="000000"/>
        </w:rPr>
      </w:pPr>
      <w:r w:rsidRPr="000B7F74">
        <w:rPr>
          <w:rFonts w:eastAsia="Calibri"/>
          <w:b/>
        </w:rPr>
        <w:t>Posėdžių organizavimas.</w:t>
      </w:r>
      <w:r w:rsidRPr="000B7F74">
        <w:rPr>
          <w:rFonts w:eastAsia="Calibri"/>
        </w:rPr>
        <w:t xml:space="preserve"> Savivaldybės Jaunimo reikalų taryba organizavo 15-a posėdžių: keturi iš jų – išplėstiniai, kurie buvo organizuoti kartu su Akmenės rajono savivaldybės jaunimo reikalų taryba, su Kretingos rajone veikiančiomis jaunimo organizacijų atstovais, Klaipėdos teritorinės darbo biržos Kretingos skyriaus specialistais, Klaipėdos jaunimo centro atvirų jaunimo erdvių darbuotojais. Posėdžiuose svarstyti šie klausimai:</w:t>
      </w:r>
    </w:p>
    <w:p w:rsidR="000B7F74" w:rsidRPr="000B7F74" w:rsidRDefault="000B7F74" w:rsidP="000B7F74">
      <w:pPr>
        <w:numPr>
          <w:ilvl w:val="0"/>
          <w:numId w:val="6"/>
        </w:numPr>
        <w:spacing w:after="200" w:line="360" w:lineRule="auto"/>
        <w:contextualSpacing/>
        <w:jc w:val="both"/>
        <w:rPr>
          <w:rFonts w:eastAsia="Calibri"/>
        </w:rPr>
      </w:pPr>
      <w:r w:rsidRPr="000B7F74">
        <w:rPr>
          <w:rFonts w:eastAsia="Calibri"/>
        </w:rPr>
        <w:t>dėl pagalbos jaunimo nevyriausybinėms organizacijų veiklai vykdyti – 2 kartus;</w:t>
      </w:r>
    </w:p>
    <w:p w:rsidR="000B7F74" w:rsidRPr="000B7F74" w:rsidRDefault="000B7F74" w:rsidP="000B7F74">
      <w:pPr>
        <w:numPr>
          <w:ilvl w:val="0"/>
          <w:numId w:val="6"/>
        </w:numPr>
        <w:spacing w:after="200" w:line="360" w:lineRule="auto"/>
        <w:contextualSpacing/>
        <w:jc w:val="both"/>
        <w:rPr>
          <w:rFonts w:eastAsia="Calibri"/>
        </w:rPr>
      </w:pPr>
      <w:r w:rsidRPr="000B7F74">
        <w:rPr>
          <w:rFonts w:eastAsia="Calibri"/>
        </w:rPr>
        <w:t>dėl jaunimo ir su jaunimu dirbančių organizacijų projektų paraiškų svarstymo – 2 kartus;</w:t>
      </w:r>
    </w:p>
    <w:p w:rsidR="000B7F74" w:rsidRPr="000B7F74" w:rsidRDefault="000B7F74" w:rsidP="000B7F74">
      <w:pPr>
        <w:numPr>
          <w:ilvl w:val="0"/>
          <w:numId w:val="6"/>
        </w:numPr>
        <w:spacing w:after="200" w:line="360" w:lineRule="auto"/>
        <w:contextualSpacing/>
        <w:jc w:val="both"/>
        <w:rPr>
          <w:rFonts w:eastAsia="Calibri"/>
        </w:rPr>
      </w:pPr>
      <w:r w:rsidRPr="000B7F74">
        <w:rPr>
          <w:rFonts w:eastAsia="Calibri"/>
        </w:rPr>
        <w:t>dėl tarpinstitucinio bendradarbiavimo jaunimo politikos srityje būdų ir formų – 5 kartus;</w:t>
      </w:r>
    </w:p>
    <w:p w:rsidR="000B7F74" w:rsidRPr="000B7F74" w:rsidRDefault="000B7F74" w:rsidP="000B7F74">
      <w:pPr>
        <w:numPr>
          <w:ilvl w:val="0"/>
          <w:numId w:val="6"/>
        </w:numPr>
        <w:spacing w:after="200" w:line="360" w:lineRule="auto"/>
        <w:contextualSpacing/>
        <w:jc w:val="both"/>
        <w:rPr>
          <w:rFonts w:eastAsia="Calibri"/>
        </w:rPr>
      </w:pPr>
      <w:r w:rsidRPr="000B7F74">
        <w:rPr>
          <w:rFonts w:eastAsia="Calibri"/>
        </w:rPr>
        <w:t>dėl atviro darbo su jaunimu kokybės, plėtros ir atvirų jaunimo erdvių veiklos vykdomų programų kokybės – 4 kartus;</w:t>
      </w:r>
    </w:p>
    <w:p w:rsidR="000B7F74" w:rsidRPr="000B7F74" w:rsidRDefault="000B7F74" w:rsidP="000B7F74">
      <w:pPr>
        <w:numPr>
          <w:ilvl w:val="0"/>
          <w:numId w:val="6"/>
        </w:numPr>
        <w:spacing w:after="200" w:line="360" w:lineRule="auto"/>
        <w:contextualSpacing/>
        <w:jc w:val="both"/>
        <w:rPr>
          <w:rFonts w:eastAsia="Calibri"/>
        </w:rPr>
      </w:pPr>
      <w:r w:rsidRPr="000B7F74">
        <w:rPr>
          <w:rFonts w:eastAsia="Calibri"/>
        </w:rPr>
        <w:t>dėl jaunimo garantijų iniciatyvos įgyvendinimo Kretingos rajono savivaldybėje – 2 kartus;</w:t>
      </w:r>
    </w:p>
    <w:p w:rsidR="000B7F74" w:rsidRPr="000B7F74" w:rsidRDefault="000B7F74" w:rsidP="000B7F74">
      <w:pPr>
        <w:numPr>
          <w:ilvl w:val="0"/>
          <w:numId w:val="6"/>
        </w:numPr>
        <w:spacing w:after="200" w:line="360" w:lineRule="auto"/>
        <w:contextualSpacing/>
        <w:jc w:val="both"/>
        <w:rPr>
          <w:rFonts w:eastAsia="Calibri"/>
        </w:rPr>
      </w:pPr>
      <w:r w:rsidRPr="000B7F74">
        <w:rPr>
          <w:rFonts w:eastAsia="Calibri"/>
        </w:rPr>
        <w:t>dėl bendradarbiavimo su kitų savivaldybių jaunimo reikalų tarybomis;</w:t>
      </w:r>
    </w:p>
    <w:p w:rsidR="000B7F74" w:rsidRPr="000B7F74" w:rsidRDefault="000B7F74" w:rsidP="000B7F74">
      <w:pPr>
        <w:spacing w:line="360" w:lineRule="auto"/>
        <w:ind w:firstLine="851"/>
        <w:jc w:val="both"/>
        <w:rPr>
          <w:rFonts w:eastAsia="Calibri"/>
        </w:rPr>
      </w:pPr>
      <w:r w:rsidRPr="000B7F74">
        <w:rPr>
          <w:rFonts w:eastAsia="Calibri"/>
        </w:rPr>
        <w:t>Taryba teikė pasiūlymus savivaldybės administracijai:</w:t>
      </w:r>
    </w:p>
    <w:p w:rsidR="000B7F74" w:rsidRPr="000B7F74" w:rsidRDefault="000B7F74" w:rsidP="000B7F74">
      <w:pPr>
        <w:numPr>
          <w:ilvl w:val="0"/>
          <w:numId w:val="5"/>
        </w:numPr>
        <w:spacing w:after="200" w:line="360" w:lineRule="auto"/>
        <w:contextualSpacing/>
        <w:jc w:val="both"/>
        <w:rPr>
          <w:rFonts w:eastAsia="Calibri"/>
        </w:rPr>
      </w:pPr>
      <w:r w:rsidRPr="000B7F74">
        <w:rPr>
          <w:rFonts w:eastAsia="Calibri"/>
        </w:rPr>
        <w:t>dėl jaunimo ir su jaunimu  dirbančių nevyriausybinių organizacijų projektų finansavimo;</w:t>
      </w:r>
    </w:p>
    <w:p w:rsidR="000B7F74" w:rsidRPr="000B7F74" w:rsidRDefault="000B7F74" w:rsidP="000B7F74">
      <w:pPr>
        <w:numPr>
          <w:ilvl w:val="0"/>
          <w:numId w:val="5"/>
        </w:numPr>
        <w:spacing w:after="200" w:line="360" w:lineRule="auto"/>
        <w:contextualSpacing/>
        <w:jc w:val="both"/>
        <w:rPr>
          <w:rFonts w:eastAsia="Calibri"/>
        </w:rPr>
      </w:pPr>
      <w:r w:rsidRPr="000B7F74">
        <w:rPr>
          <w:rFonts w:eastAsia="Calibri"/>
        </w:rPr>
        <w:t>dėl  atviro darbo su jaunimu plėtros ir kokybės gerinimo;</w:t>
      </w:r>
    </w:p>
    <w:p w:rsidR="000B7F74" w:rsidRPr="000B7F74" w:rsidRDefault="000B7F74" w:rsidP="000B7F74">
      <w:pPr>
        <w:numPr>
          <w:ilvl w:val="0"/>
          <w:numId w:val="5"/>
        </w:numPr>
        <w:spacing w:after="200" w:line="360" w:lineRule="auto"/>
        <w:contextualSpacing/>
        <w:jc w:val="both"/>
        <w:rPr>
          <w:rFonts w:eastAsia="Calibri"/>
        </w:rPr>
      </w:pPr>
      <w:r w:rsidRPr="000B7F74">
        <w:rPr>
          <w:rFonts w:eastAsia="Calibri"/>
        </w:rPr>
        <w:lastRenderedPageBreak/>
        <w:t>jaunimo darbuotojo etato poreikio Kretingos suaugusiųjų ir jaunimo mokymo centro atviroje erdvėje.</w:t>
      </w:r>
    </w:p>
    <w:p w:rsidR="000B7F74" w:rsidRPr="000B7F74" w:rsidRDefault="000B7F74" w:rsidP="000B7F74">
      <w:pPr>
        <w:spacing w:line="360" w:lineRule="auto"/>
        <w:ind w:firstLine="851"/>
        <w:jc w:val="both"/>
        <w:rPr>
          <w:rFonts w:eastAsia="Calibri"/>
        </w:rPr>
      </w:pPr>
      <w:r w:rsidRPr="000B7F74">
        <w:rPr>
          <w:rFonts w:eastAsia="Calibri"/>
        </w:rPr>
        <w:t>Tarybos nariai vertino gautus pasiūlymus apie aktyvius jaunuolius, organizacijas, jaunimo darbuotojus Jaunimo apdovanojimams gauti, inicijavo Savanorių vakaro organizavimą.</w:t>
      </w:r>
    </w:p>
    <w:p w:rsidR="000B7F74" w:rsidRPr="000B7F74" w:rsidRDefault="000B7F74" w:rsidP="000B7F74">
      <w:pPr>
        <w:spacing w:line="360" w:lineRule="auto"/>
        <w:ind w:firstLine="851"/>
        <w:jc w:val="both"/>
        <w:rPr>
          <w:rFonts w:eastAsia="Calibri"/>
        </w:rPr>
      </w:pPr>
      <w:r w:rsidRPr="000B7F74">
        <w:rPr>
          <w:rFonts w:eastAsia="Calibri"/>
          <w:b/>
        </w:rPr>
        <w:t>Kretingos rajono savivaldybės jaunimo politikos įgyvendinimo 20</w:t>
      </w:r>
      <w:r w:rsidRPr="000B7F74">
        <w:rPr>
          <w:rFonts w:eastAsia="Calibri"/>
          <w:b/>
          <w:lang w:val="en-US"/>
        </w:rPr>
        <w:t>14</w:t>
      </w:r>
      <w:r w:rsidRPr="000B7F74">
        <w:rPr>
          <w:rFonts w:eastAsia="Calibri"/>
          <w:b/>
        </w:rPr>
        <w:t>–2016 m. programoje</w:t>
      </w:r>
      <w:r w:rsidRPr="000B7F74">
        <w:rPr>
          <w:rFonts w:eastAsia="Calibri"/>
        </w:rPr>
        <w:t xml:space="preserve"> viena iš priemonių - </w:t>
      </w:r>
      <w:r w:rsidRPr="000B7F74">
        <w:rPr>
          <w:rFonts w:eastAsia="MS Mincho"/>
          <w:lang w:eastAsia="ja-JP"/>
        </w:rPr>
        <w:t>finansuoti jaunimo ir su jaunimu dirbančių organizacijų bei neformalių grupių projektines veiklas.</w:t>
      </w:r>
      <w:r w:rsidRPr="000B7F74">
        <w:rPr>
          <w:rFonts w:eastAsia="Calibri"/>
          <w:b/>
        </w:rPr>
        <w:t xml:space="preserve"> </w:t>
      </w:r>
      <w:r w:rsidRPr="000B7F74">
        <w:t>2015 m. savivaldybės biudžeto jaunimo projektų finansavimui buvo numatyta 8700 €. Šiomis lėšomis finansuota 12-a jaunimo ir su jaunimu dirbančių organizacijų, įvykdyta 15 projektų. Projektuose dalyvavo 2659 jaunuoliai. Suorganizuota 16 renginių, iš kurių 3 – su kitomis savivaldybėmis, 2 – tarptautinio pobūdžio. Per projektines veiklas surengta 14 sistemingos veiklos užsiėmimų, iš jų 12 – kaimo vietovėse. Organizuotos 3 stovyklos, kuriose dalyvavo 951 jaunuolis. 2015 m. išryškėjo didesnis dėmesys jaunimo iniciatyvoms, kaimo jaunimo įtraukimui ir jaunų šeimų aktyvinimui skirti projektai.</w:t>
      </w:r>
      <w:r w:rsidRPr="000B7F74">
        <w:rPr>
          <w:rFonts w:eastAsia="Calibri"/>
        </w:rPr>
        <w:t xml:space="preserve"> Projektuose dominuoja mokyklinio amžiaus jaunimas (žr. 1 pav.).</w:t>
      </w:r>
    </w:p>
    <w:p w:rsidR="000B7F74" w:rsidRPr="000B7F74" w:rsidRDefault="00402A14" w:rsidP="000B7F74">
      <w:pPr>
        <w:spacing w:line="360" w:lineRule="auto"/>
        <w:jc w:val="center"/>
        <w:rPr>
          <w:rFonts w:eastAsia="Calibri"/>
          <w:b/>
        </w:rPr>
      </w:pPr>
      <w:r>
        <w:rPr>
          <w:rFonts w:ascii="Calibri" w:eastAsia="Calibri" w:hAnsi="Calibri"/>
          <w:noProof/>
          <w:sz w:val="22"/>
          <w:szCs w:val="22"/>
          <w:lang w:eastAsia="lt-LT"/>
        </w:rPr>
        <w:drawing>
          <wp:inline distT="0" distB="0" distL="0" distR="0">
            <wp:extent cx="4108450" cy="1696085"/>
            <wp:effectExtent l="0" t="0" r="25400" b="18415"/>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B7F74" w:rsidRPr="000B7F74" w:rsidRDefault="000B7F74" w:rsidP="000B7F74">
      <w:pPr>
        <w:tabs>
          <w:tab w:val="left" w:pos="3570"/>
        </w:tabs>
        <w:spacing w:after="200" w:line="276" w:lineRule="auto"/>
        <w:jc w:val="center"/>
        <w:rPr>
          <w:rFonts w:eastAsia="Calibri"/>
          <w:b/>
          <w:sz w:val="20"/>
          <w:szCs w:val="20"/>
        </w:rPr>
      </w:pPr>
      <w:r w:rsidRPr="000B7F74">
        <w:rPr>
          <w:rFonts w:eastAsia="Calibri"/>
          <w:sz w:val="20"/>
          <w:szCs w:val="20"/>
        </w:rPr>
        <w:t>1 pav.</w:t>
      </w:r>
      <w:r w:rsidRPr="000B7F74">
        <w:rPr>
          <w:rFonts w:eastAsia="Calibri"/>
          <w:b/>
          <w:sz w:val="20"/>
          <w:szCs w:val="20"/>
        </w:rPr>
        <w:t xml:space="preserve"> Jaunimo projektuose dalyvaujančių jaunuolių statusas (skaičius)</w:t>
      </w:r>
    </w:p>
    <w:p w:rsidR="000B7F74" w:rsidRPr="000B7F74" w:rsidRDefault="000B7F74" w:rsidP="000B7F74">
      <w:pPr>
        <w:spacing w:line="360" w:lineRule="auto"/>
        <w:ind w:firstLine="851"/>
        <w:jc w:val="both"/>
      </w:pPr>
      <w:r w:rsidRPr="000B7F74">
        <w:t>Atvirų jaunimo erdvių finansavimo programas vykdė 15 įstaigų: trys Kretingos bendrojo ugdymo įstaigos (Kretingos suaugusiųjų ir jaunimo mokymo centras, Grūšlaukės pagrindinė mokykla, Salantų gimnazija), aštuonios kaimo bendruomenės (Kalniškių, Budrių, Baublių, Kūlupėnų, Laukžemės, Kurmaičių, Valėnų, Šukės), Kretingos kultūros centro Raguviškių skyrius,  Salantų kultūros centro Juodupėnų skyrius ir Žvainių kultūros namai, M. Valančiaus viešoji biblioteka. Iš savivaldybės biudžeto šiai programai vykdyti panaudota 7200 €. Atvira jaunimo erdvių veiklos programa sudarė galimybes daugiau nei 1000 jaunuolių pasinaudoti ,,žemo slenksčio“ paslaugomis, įgalinančiomis jaunus žmones lengvai įsitraukti į veiklą, prasmingai praleisti laisvalaikį, įgyti socialinių įgūdžių, gauti konsultacijas ar reikalingą informaciją. Tarp atvirų jaunimo erdvių veiklos programą vykdančių institucijų pirmavo kaimo bendruomenės (žr. 2 pav.).</w:t>
      </w:r>
    </w:p>
    <w:p w:rsidR="000B7F74" w:rsidRPr="000B7F74" w:rsidRDefault="00402A14" w:rsidP="000B7F74">
      <w:pPr>
        <w:spacing w:line="360" w:lineRule="auto"/>
        <w:jc w:val="center"/>
      </w:pPr>
      <w:r>
        <w:rPr>
          <w:rFonts w:ascii="Calibri" w:eastAsia="Calibri" w:hAnsi="Calibri"/>
          <w:noProof/>
          <w:sz w:val="22"/>
          <w:szCs w:val="22"/>
          <w:lang w:eastAsia="lt-LT"/>
        </w:rPr>
        <w:lastRenderedPageBreak/>
        <w:drawing>
          <wp:inline distT="0" distB="0" distL="0" distR="0">
            <wp:extent cx="3717290" cy="1603375"/>
            <wp:effectExtent l="0" t="0" r="16510" b="15875"/>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B7F74" w:rsidRPr="000B7F74" w:rsidRDefault="000B7F74" w:rsidP="000B7F74">
      <w:pPr>
        <w:spacing w:after="200" w:line="360" w:lineRule="auto"/>
        <w:jc w:val="center"/>
        <w:rPr>
          <w:rFonts w:eastAsia="Calibri"/>
          <w:b/>
          <w:sz w:val="20"/>
          <w:szCs w:val="20"/>
        </w:rPr>
      </w:pPr>
      <w:r w:rsidRPr="000B7F74">
        <w:rPr>
          <w:sz w:val="20"/>
          <w:szCs w:val="20"/>
        </w:rPr>
        <w:t xml:space="preserve">2 pav. </w:t>
      </w:r>
      <w:r w:rsidRPr="000B7F74">
        <w:rPr>
          <w:rFonts w:eastAsia="Calibri"/>
          <w:b/>
          <w:sz w:val="20"/>
          <w:szCs w:val="20"/>
        </w:rPr>
        <w:t>Atvirų jaunimo erdvių veiklų programas vykdančios institucijos (skaičius)</w:t>
      </w:r>
    </w:p>
    <w:p w:rsidR="000B7F74" w:rsidRPr="000B7F74" w:rsidRDefault="000B7F74" w:rsidP="00FE442B">
      <w:pPr>
        <w:spacing w:line="360" w:lineRule="auto"/>
        <w:ind w:firstLine="851"/>
        <w:jc w:val="both"/>
      </w:pPr>
      <w:r w:rsidRPr="000B7F74">
        <w:t>Atsižvelgdamos į jaunimo poreikius, šią programą vykdančios įstaigos įsigijo įvairių veiklai reikalingų priemonių. Kretingos rajone vykdoma atvirų jaunimo erdvių plėtra tiek kokybiniu, tiek kiekybiniu aspektu pirmauja respublikoje. 2015 m. daug dėmesio skirta Atvirų jaunimo erdvių veiklos programą įgyvendinančių specialistų kvalifikacijai kelti.</w:t>
      </w:r>
      <w:r w:rsidR="00FE442B" w:rsidRPr="00FE442B">
        <w:rPr>
          <w:rFonts w:eastAsia="Calibri"/>
        </w:rPr>
        <w:t xml:space="preserve"> Nuo rugsėjo 1 d. Kretingos suaugusiųjų ir jaunimo mokymo centre atvirą darbą su jaunimu dirba jaunimo darbuotojas. </w:t>
      </w:r>
    </w:p>
    <w:p w:rsidR="000B7F74" w:rsidRPr="000B7F74" w:rsidRDefault="000B7F74" w:rsidP="000B7F74">
      <w:pPr>
        <w:spacing w:line="360" w:lineRule="auto"/>
        <w:ind w:firstLine="851"/>
        <w:jc w:val="both"/>
      </w:pPr>
      <w:r w:rsidRPr="000B7F74">
        <w:rPr>
          <w:rFonts w:eastAsia="MS Mincho"/>
          <w:b/>
          <w:lang w:eastAsia="ja-JP"/>
        </w:rPr>
        <w:t xml:space="preserve">Renginių organizavimas. </w:t>
      </w:r>
      <w:r w:rsidRPr="000B7F74">
        <w:rPr>
          <w:rFonts w:eastAsia="MS Mincho"/>
          <w:lang w:eastAsia="ja-JP"/>
        </w:rPr>
        <w:t>Jaunimo informacinė mugė organizuota</w:t>
      </w:r>
      <w:r w:rsidRPr="000B7F74">
        <w:rPr>
          <w:rFonts w:eastAsia="MS Mincho"/>
          <w:b/>
          <w:lang w:eastAsia="ja-JP"/>
        </w:rPr>
        <w:t xml:space="preserve"> </w:t>
      </w:r>
      <w:r w:rsidRPr="000B7F74">
        <w:rPr>
          <w:rFonts w:eastAsia="MS Mincho"/>
          <w:lang w:eastAsia="ja-JP"/>
        </w:rPr>
        <w:t>bendradarbiaujant su Strateginio planavimo ir investicijų skyriaus specialiste G. Ringyte vykdant projektą ,,Jaunuoli, grįžk į gimtąjį miestą“ lėšų. 16-a jaunimo ir su jaunimu dirbančių organizacijų pristatinėjo savo vykdomą veiklą, vyko J. Didžiulio paskaita ir koncertas, filmo po atviru dangumi peržiūra.</w:t>
      </w:r>
      <w:r w:rsidRPr="000B7F74">
        <w:t xml:space="preserve"> </w:t>
      </w:r>
    </w:p>
    <w:p w:rsidR="000B7F74" w:rsidRPr="000B7F74" w:rsidRDefault="000B7F74" w:rsidP="000B7F74">
      <w:pPr>
        <w:spacing w:line="360" w:lineRule="auto"/>
        <w:ind w:firstLine="851"/>
        <w:jc w:val="both"/>
      </w:pPr>
      <w:r w:rsidRPr="000B7F74">
        <w:t xml:space="preserve">2015 m. svarstyti pateiktos gautos 35 kandidatūros jaunimo apdovanojimams gauti, organizuotas renginys ,,Jaunimo apdovanojimai“, kuriuose įteiktos 5 nominacijos lyderiaujantiems jaunuoliams, jaunimo organizacijoms, asmenims, pasižymėjusiems savanorystės veiklose. </w:t>
      </w:r>
    </w:p>
    <w:p w:rsidR="000B7F74" w:rsidRPr="000B7F74" w:rsidRDefault="000B7F74" w:rsidP="000B7F74">
      <w:pPr>
        <w:spacing w:line="360" w:lineRule="auto"/>
        <w:ind w:firstLine="851"/>
        <w:jc w:val="both"/>
      </w:pPr>
      <w:r w:rsidRPr="000B7F74">
        <w:t xml:space="preserve">Lietuvos moksleivių sąjungos Kretingos mokinių savivaldos informavimo centro aktyviausi nariai rugpjūčio mėnesį dalyvavo 10-ojoje Žemaitijos akademijoje ,,Kartu mes galime daug“ Skuodo rajone. Šio respublikinio renginio tikslas – skatinti jaunimo nevyriausybinių organizacijų jaunimą dalintis gerąją veiklos patirtimi, skleisti informaciją apie savanoriškos dalyvavimo privalumus ir galimybes. </w:t>
      </w:r>
    </w:p>
    <w:p w:rsidR="000B7F74" w:rsidRPr="000B7F74" w:rsidRDefault="000B7F74" w:rsidP="000B7F74">
      <w:pPr>
        <w:spacing w:line="360" w:lineRule="auto"/>
        <w:ind w:firstLine="851"/>
        <w:jc w:val="both"/>
      </w:pPr>
      <w:r w:rsidRPr="000B7F74">
        <w:t>Tarptautinei jaunimo dienai paminėti rugpjūčio 12 d. buvo organizuotas BMX ir Skate turnyras ,,Salionas“ Pastauninko parke ant naujai įrengtos rampos. Turnyre varžėsi 39 ekstremalaus sporto mėgėjai. Renginyje dalyvavo ne tik Kretingos rajono, bet ir Klaipėdos, Gargždų, Plungės ir Vilniaus miesto jaunimas.</w:t>
      </w:r>
    </w:p>
    <w:p w:rsidR="000B7F74" w:rsidRPr="000B7F74" w:rsidRDefault="000B7F74" w:rsidP="000B7F74">
      <w:pPr>
        <w:spacing w:line="360" w:lineRule="auto"/>
        <w:ind w:firstLine="851"/>
        <w:jc w:val="both"/>
      </w:pPr>
      <w:r w:rsidRPr="000B7F74">
        <w:rPr>
          <w:rFonts w:eastAsia="Calibri"/>
        </w:rPr>
        <w:t xml:space="preserve">Siekiant stiprinti mokinių savivaldos veiklas, organizuotas mokinių savivaldos forumas  </w:t>
      </w:r>
      <w:r w:rsidRPr="000B7F74">
        <w:rPr>
          <w:rFonts w:eastAsia="Calibri"/>
          <w:lang w:val="en-US"/>
        </w:rPr>
        <w:t>,,Savivaldos galia jaunimo politikos kontekste</w:t>
      </w:r>
      <w:r w:rsidRPr="000B7F74">
        <w:rPr>
          <w:rFonts w:eastAsia="Calibri"/>
        </w:rPr>
        <w:t>“</w:t>
      </w:r>
      <w:r w:rsidRPr="000B7F74">
        <w:rPr>
          <w:rFonts w:eastAsia="Calibri"/>
          <w:lang w:val="en-US"/>
        </w:rPr>
        <w:t xml:space="preserve">, </w:t>
      </w:r>
      <w:r w:rsidRPr="000B7F74">
        <w:rPr>
          <w:rFonts w:eastAsia="Calibri"/>
        </w:rPr>
        <w:t>kuriame vykdytas struktūrinis</w:t>
      </w:r>
      <w:r w:rsidRPr="000B7F74">
        <w:rPr>
          <w:rFonts w:eastAsia="Calibri"/>
          <w:lang w:val="en-US"/>
        </w:rPr>
        <w:t xml:space="preserve"> dialogas </w:t>
      </w:r>
      <w:r w:rsidRPr="000B7F74">
        <w:rPr>
          <w:rFonts w:eastAsia="Calibri"/>
        </w:rPr>
        <w:t>jaunimo pilietinio aktyvumo ir savanoriškos veiklos skatinimo klausimais.</w:t>
      </w:r>
    </w:p>
    <w:p w:rsidR="000B7F74" w:rsidRPr="000B7F74" w:rsidRDefault="000B7F74" w:rsidP="000B7F74">
      <w:pPr>
        <w:spacing w:line="360" w:lineRule="auto"/>
        <w:ind w:firstLine="851"/>
        <w:jc w:val="both"/>
      </w:pPr>
      <w:r w:rsidRPr="000B7F74">
        <w:rPr>
          <w:rFonts w:eastAsia="Calibri"/>
        </w:rPr>
        <w:t>Kretingos rajono savivaldybės jaunimo reikalų taryba teikė administracijos direktoriui siūlymus skirti lėšas jaunimo politikai įgyvendinti šioms priemonėms (žr. 3 pav.).</w:t>
      </w:r>
    </w:p>
    <w:p w:rsidR="000B7F74" w:rsidRPr="000B7F74" w:rsidRDefault="00402A14" w:rsidP="000B7F74">
      <w:pPr>
        <w:spacing w:line="360" w:lineRule="auto"/>
        <w:jc w:val="center"/>
        <w:rPr>
          <w:rFonts w:eastAsia="Calibri"/>
        </w:rPr>
      </w:pPr>
      <w:r>
        <w:rPr>
          <w:rFonts w:ascii="Calibri" w:eastAsia="Calibri" w:hAnsi="Calibri"/>
          <w:noProof/>
          <w:sz w:val="22"/>
          <w:szCs w:val="22"/>
          <w:lang w:eastAsia="lt-LT"/>
        </w:rPr>
        <w:lastRenderedPageBreak/>
        <w:drawing>
          <wp:inline distT="0" distB="0" distL="0" distR="0">
            <wp:extent cx="4940300" cy="1447800"/>
            <wp:effectExtent l="0" t="0" r="0" b="0"/>
            <wp:docPr id="4" name="Diagra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B7F74" w:rsidRPr="000B7F74" w:rsidRDefault="000B7F74" w:rsidP="000B7F74">
      <w:pPr>
        <w:spacing w:line="360" w:lineRule="auto"/>
        <w:jc w:val="center"/>
        <w:rPr>
          <w:rFonts w:eastAsia="Calibri"/>
          <w:b/>
          <w:sz w:val="20"/>
          <w:szCs w:val="20"/>
        </w:rPr>
      </w:pPr>
      <w:r w:rsidRPr="000B7F74">
        <w:rPr>
          <w:rFonts w:eastAsia="Calibri"/>
          <w:sz w:val="20"/>
          <w:szCs w:val="20"/>
        </w:rPr>
        <w:t>3 pav.</w:t>
      </w:r>
      <w:r w:rsidRPr="000B7F74">
        <w:rPr>
          <w:rFonts w:eastAsia="Calibri"/>
          <w:b/>
          <w:sz w:val="20"/>
          <w:szCs w:val="20"/>
        </w:rPr>
        <w:t xml:space="preserve"> Jaunimo politikos priemonėms įgyvendinti skirtos lėšos 2015 m. (Eurai)</w:t>
      </w:r>
    </w:p>
    <w:p w:rsidR="000B7F74" w:rsidRPr="000B7F74" w:rsidRDefault="000B7F74" w:rsidP="000B7F74">
      <w:pPr>
        <w:spacing w:line="360" w:lineRule="auto"/>
        <w:jc w:val="center"/>
        <w:rPr>
          <w:rFonts w:eastAsia="Calibri"/>
          <w:b/>
        </w:rPr>
      </w:pPr>
    </w:p>
    <w:p w:rsidR="000B7F74" w:rsidRPr="000B7F74" w:rsidRDefault="000B7F74" w:rsidP="000B7F74">
      <w:pPr>
        <w:spacing w:line="360" w:lineRule="auto"/>
        <w:ind w:firstLine="851"/>
        <w:jc w:val="both"/>
        <w:rPr>
          <w:rFonts w:eastAsia="Calibri"/>
          <w:b/>
        </w:rPr>
      </w:pPr>
      <w:r w:rsidRPr="000B7F74">
        <w:rPr>
          <w:rFonts w:eastAsia="Calibri"/>
          <w:b/>
        </w:rPr>
        <w:t xml:space="preserve">Jauniems žmonėms palankios infrastruktūros </w:t>
      </w:r>
      <w:r w:rsidRPr="000B7F74">
        <w:rPr>
          <w:rFonts w:eastAsia="Calibri"/>
        </w:rPr>
        <w:t>kūrimo pokyčiai 2015 m. buvo pastebimi dėl ekstremalaus sporto jaunų mėgėjų poreikiams pritaikytos Pastauninko parke riedlenčių rampos, kurioje sezono metu reguliariai aktyviu laisvalaikiu užsiima apie 40 jaunuolių. Tai tapo patrauklia vieša erdve jaunimui bei veiksmingu įrankiu netradiciniam sportui populiarinti.</w:t>
      </w:r>
    </w:p>
    <w:p w:rsidR="000B7F74" w:rsidRPr="000B7F74" w:rsidRDefault="000B7F74" w:rsidP="000B7F74">
      <w:pPr>
        <w:spacing w:line="360" w:lineRule="auto"/>
        <w:ind w:firstLine="851"/>
        <w:jc w:val="both"/>
        <w:rPr>
          <w:rFonts w:eastAsia="Calibri"/>
          <w:b/>
        </w:rPr>
      </w:pPr>
      <w:r w:rsidRPr="000B7F74">
        <w:rPr>
          <w:rFonts w:eastAsia="Calibri"/>
        </w:rPr>
        <w:t>Viena iš priemonių</w:t>
      </w:r>
      <w:r w:rsidRPr="000B7F74">
        <w:rPr>
          <w:rFonts w:eastAsia="Calibri"/>
          <w:b/>
        </w:rPr>
        <w:t xml:space="preserve"> </w:t>
      </w:r>
      <w:r w:rsidRPr="000B7F74">
        <w:rPr>
          <w:rFonts w:eastAsia="Calibri"/>
        </w:rPr>
        <w:t>siekiant</w:t>
      </w:r>
      <w:r w:rsidRPr="000B7F74">
        <w:rPr>
          <w:rFonts w:eastAsia="Calibri"/>
          <w:b/>
        </w:rPr>
        <w:t xml:space="preserve"> </w:t>
      </w:r>
      <w:r w:rsidRPr="000B7F74">
        <w:rPr>
          <w:rFonts w:eastAsia="Calibri"/>
        </w:rPr>
        <w:t>skatinti studentų pasiruošimą darbinei</w:t>
      </w:r>
      <w:r w:rsidRPr="000B7F74">
        <w:rPr>
          <w:rFonts w:ascii="Calibri" w:eastAsia="Calibri" w:hAnsi="Calibri"/>
          <w:sz w:val="22"/>
          <w:szCs w:val="22"/>
        </w:rPr>
        <w:t xml:space="preserve"> </w:t>
      </w:r>
      <w:r w:rsidRPr="000B7F74">
        <w:rPr>
          <w:rFonts w:eastAsia="Calibri"/>
        </w:rPr>
        <w:t xml:space="preserve">karjerai yra vykdoma sveikatos priežiūros specialistų studijų rėmimo programa. Iš savivaldybės biudžeto 2015 m. 3-ims rezidentams buvo suteikta  15 667 € parama. </w:t>
      </w:r>
    </w:p>
    <w:p w:rsidR="000B7F74" w:rsidRPr="000B7F74" w:rsidRDefault="000B7F74" w:rsidP="000B7F74">
      <w:pPr>
        <w:spacing w:line="360" w:lineRule="auto"/>
        <w:ind w:firstLine="851"/>
        <w:jc w:val="both"/>
        <w:rPr>
          <w:rFonts w:eastAsia="Calibri"/>
          <w:b/>
        </w:rPr>
      </w:pPr>
      <w:r w:rsidRPr="000B7F74">
        <w:rPr>
          <w:rFonts w:eastAsia="Calibri"/>
        </w:rPr>
        <w:t>2015 m. įgyvendinama Jaunimo garantijų iniciatyva, kurią vykdė Klaipėdos teritorinės darbo biržos Kretingos skyrius ir nuo spalio mėnesio Kretingos suaugusiųjų ir jaunimo mokymo centre Jaunimo garantijų įgyvendinimo koordinatorius. Organizuoti 2 informaciniai susitikimai su seniūnais ir mokyklų vadovais. Stebėtas nedirbančių, nesimokančių ir mokymuose nedalyvaujančių jaunuolių skaičiaus kitimas (žr. 4 pav.).</w:t>
      </w:r>
    </w:p>
    <w:p w:rsidR="000B7F74" w:rsidRPr="000B7F74" w:rsidRDefault="00402A14" w:rsidP="000B7F74">
      <w:pPr>
        <w:spacing w:after="200" w:line="360" w:lineRule="auto"/>
        <w:jc w:val="center"/>
        <w:rPr>
          <w:rFonts w:ascii="Calibri" w:eastAsia="Calibri" w:hAnsi="Calibri"/>
          <w:sz w:val="22"/>
          <w:szCs w:val="22"/>
        </w:rPr>
      </w:pPr>
      <w:r>
        <w:rPr>
          <w:rFonts w:ascii="Calibri" w:eastAsia="Calibri" w:hAnsi="Calibri"/>
          <w:noProof/>
          <w:sz w:val="22"/>
          <w:szCs w:val="22"/>
          <w:lang w:eastAsia="lt-LT"/>
        </w:rPr>
        <w:drawing>
          <wp:inline distT="0" distB="0" distL="0" distR="0">
            <wp:extent cx="4353560" cy="1358900"/>
            <wp:effectExtent l="0" t="0" r="27940" b="12700"/>
            <wp:docPr id="5"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B7F74" w:rsidRPr="000B7F74" w:rsidRDefault="000B7F74" w:rsidP="000B7F74">
      <w:pPr>
        <w:spacing w:after="200" w:line="360" w:lineRule="auto"/>
        <w:jc w:val="center"/>
        <w:rPr>
          <w:rFonts w:eastAsia="Calibri"/>
          <w:b/>
          <w:sz w:val="20"/>
          <w:szCs w:val="20"/>
        </w:rPr>
      </w:pPr>
      <w:r w:rsidRPr="000B7F74">
        <w:rPr>
          <w:rFonts w:eastAsia="Calibri"/>
          <w:sz w:val="20"/>
          <w:szCs w:val="20"/>
        </w:rPr>
        <w:t xml:space="preserve">4 pav. </w:t>
      </w:r>
      <w:r w:rsidRPr="000B7F74">
        <w:rPr>
          <w:rFonts w:eastAsia="Calibri"/>
          <w:b/>
          <w:sz w:val="20"/>
          <w:szCs w:val="20"/>
        </w:rPr>
        <w:t>Nedirbančių, nesimokančių jaunuolių skaičius 2015 m. (skaičius)</w:t>
      </w:r>
    </w:p>
    <w:p w:rsidR="000B7F74" w:rsidRPr="000B7F74" w:rsidRDefault="000B7F74" w:rsidP="000B7F74">
      <w:pPr>
        <w:spacing w:line="360" w:lineRule="auto"/>
        <w:jc w:val="both"/>
        <w:rPr>
          <w:rFonts w:eastAsia="Calibri"/>
        </w:rPr>
      </w:pPr>
    </w:p>
    <w:p w:rsidR="000B7F74" w:rsidRPr="000B7F74" w:rsidRDefault="000B7F74" w:rsidP="000B7F74">
      <w:pPr>
        <w:spacing w:line="360" w:lineRule="auto"/>
        <w:ind w:firstLine="851"/>
        <w:jc w:val="both"/>
        <w:rPr>
          <w:rFonts w:eastAsia="Calibri"/>
        </w:rPr>
      </w:pPr>
      <w:r w:rsidRPr="000B7F74">
        <w:rPr>
          <w:rFonts w:eastAsia="Calibri"/>
        </w:rPr>
        <w:t xml:space="preserve">Jaunimo garantijų iniciatyvos programa, skirta </w:t>
      </w:r>
      <w:r w:rsidRPr="000B7F74">
        <w:rPr>
          <w:color w:val="000000"/>
          <w:kern w:val="24"/>
        </w:rPr>
        <w:t>niekur nesimokantiems, nedirbantiems, ilgalaikėse formalaus švietimo mokymų programose nedalyvaujantiems žmonėms nuo 15 iki 29 metų.</w:t>
      </w:r>
      <w:r w:rsidRPr="000B7F74">
        <w:rPr>
          <w:rFonts w:eastAsia="Calibri"/>
        </w:rPr>
        <w:t xml:space="preserve"> Kretingos suaugusiųjų ir jaunimo mokymo centre nuo rugsėjo 1 d. pradėtos teikti konsultavimo, informavimo, įtraukimo į savanorystę paslaugos, sudarant individualų veiklos planą kiekvienam sutikusiam dalyvauti programoje jaunam žmogui Kretingos rajone ir Palangos mieste. </w:t>
      </w:r>
    </w:p>
    <w:p w:rsidR="000B7F74" w:rsidRPr="000B7F74" w:rsidRDefault="000B7F74" w:rsidP="000B7F74">
      <w:pPr>
        <w:spacing w:line="360" w:lineRule="auto"/>
        <w:ind w:firstLine="851"/>
        <w:jc w:val="both"/>
        <w:rPr>
          <w:rFonts w:eastAsia="Calibri"/>
        </w:rPr>
      </w:pPr>
      <w:r w:rsidRPr="000B7F74">
        <w:rPr>
          <w:rFonts w:eastAsia="Calibri"/>
        </w:rPr>
        <w:lastRenderedPageBreak/>
        <w:t xml:space="preserve">Informacinė sklaida apie savivaldybės jaunimo reikalų tarybos veiklą, jaunimo galimybes dalyvauti jaunimo nevyriausybinių organizacijų veiklose, priimtus sprendimus, susijusius su jaunimo politikos įgyvendinimu, reguliariai skelbta jaunimo interneto svetainėje </w:t>
      </w:r>
      <w:hyperlink r:id="rId18" w:history="1">
        <w:r w:rsidRPr="000B7F74">
          <w:rPr>
            <w:rFonts w:eastAsia="Calibri"/>
            <w:color w:val="0000FF"/>
            <w:u w:val="single"/>
            <w:lang w:val="it-IT"/>
          </w:rPr>
          <w:t>www.kretingosjaunimas.lt</w:t>
        </w:r>
      </w:hyperlink>
      <w:r w:rsidRPr="000B7F74">
        <w:rPr>
          <w:rFonts w:eastAsia="Calibri"/>
          <w:color w:val="0000FF"/>
          <w:u w:val="single"/>
          <w:lang w:val="it-IT"/>
        </w:rPr>
        <w:t>.</w:t>
      </w:r>
      <w:r w:rsidRPr="000B7F74">
        <w:rPr>
          <w:rFonts w:eastAsia="Calibri"/>
          <w:lang w:val="it-IT"/>
        </w:rPr>
        <w:t xml:space="preserve"> ir  savivaldybės interneto svetainėje  </w:t>
      </w:r>
      <w:hyperlink r:id="rId19" w:history="1">
        <w:r w:rsidRPr="000B7F74">
          <w:rPr>
            <w:rFonts w:eastAsia="Calibri"/>
            <w:color w:val="0000FF"/>
            <w:u w:val="single"/>
            <w:lang w:val="it-IT"/>
          </w:rPr>
          <w:t>www.kretinga.lt</w:t>
        </w:r>
      </w:hyperlink>
      <w:r w:rsidRPr="000B7F74">
        <w:rPr>
          <w:rFonts w:eastAsia="Calibri"/>
          <w:color w:val="0000FF"/>
          <w:u w:val="single"/>
          <w:lang w:val="it-IT"/>
        </w:rPr>
        <w:t>.</w:t>
      </w:r>
    </w:p>
    <w:p w:rsidR="000B7F74" w:rsidRPr="000B7F74" w:rsidRDefault="000B7F74" w:rsidP="000B7F74">
      <w:pPr>
        <w:spacing w:line="360" w:lineRule="auto"/>
        <w:jc w:val="center"/>
        <w:rPr>
          <w:rFonts w:eastAsia="Calibri"/>
        </w:rPr>
      </w:pPr>
      <w:r w:rsidRPr="000B7F74">
        <w:rPr>
          <w:rFonts w:eastAsia="Calibri"/>
        </w:rPr>
        <w:t>_______________________________________</w:t>
      </w:r>
    </w:p>
    <w:p w:rsidR="003A184A" w:rsidRDefault="003A184A" w:rsidP="008D7313">
      <w:pPr>
        <w:pStyle w:val="Pagrindinistekstas2"/>
        <w:spacing w:line="240" w:lineRule="auto"/>
      </w:pPr>
    </w:p>
    <w:p w:rsidR="003A184A" w:rsidRDefault="003A184A" w:rsidP="008F1C80">
      <w:pPr>
        <w:pStyle w:val="Pagrindinistekstas2"/>
        <w:spacing w:line="240" w:lineRule="auto"/>
        <w:ind w:left="5400"/>
      </w:pPr>
    </w:p>
    <w:sectPr w:rsidR="003A184A" w:rsidSect="002142AD">
      <w:headerReference w:type="first" r:id="rId20"/>
      <w:pgSz w:w="12240" w:h="15840" w:code="1"/>
      <w:pgMar w:top="709" w:right="720" w:bottom="720" w:left="1259" w:header="709" w:footer="709"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0D0" w:rsidRDefault="00F970D0">
      <w:r>
        <w:separator/>
      </w:r>
    </w:p>
  </w:endnote>
  <w:endnote w:type="continuationSeparator" w:id="0">
    <w:p w:rsidR="00F970D0" w:rsidRDefault="00F9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5E" w:rsidRDefault="0070335E" w:rsidP="000043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0335E" w:rsidRDefault="0070335E" w:rsidP="0070335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5E" w:rsidRDefault="0070335E" w:rsidP="00004382">
    <w:pPr>
      <w:pStyle w:val="Porat"/>
      <w:framePr w:wrap="around" w:vAnchor="text" w:hAnchor="margin" w:xAlign="right" w:y="1"/>
      <w:rPr>
        <w:rStyle w:val="Puslapionumeris"/>
      </w:rPr>
    </w:pPr>
  </w:p>
  <w:p w:rsidR="0070335E" w:rsidRDefault="0070335E" w:rsidP="0070335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0D0" w:rsidRDefault="00F970D0">
      <w:r>
        <w:separator/>
      </w:r>
    </w:p>
  </w:footnote>
  <w:footnote w:type="continuationSeparator" w:id="0">
    <w:p w:rsidR="00F970D0" w:rsidRDefault="00F97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283" w:rsidRDefault="00A24283" w:rsidP="00023C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24283" w:rsidRDefault="00A242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68" w:rsidRDefault="00965168">
    <w:pPr>
      <w:pStyle w:val="Antrats"/>
      <w:jc w:val="center"/>
    </w:pPr>
    <w:r>
      <w:fldChar w:fldCharType="begin"/>
    </w:r>
    <w:r>
      <w:instrText>PAGE   \* MERGEFORMAT</w:instrText>
    </w:r>
    <w:r>
      <w:fldChar w:fldCharType="separate"/>
    </w:r>
    <w:r w:rsidR="00804CD1">
      <w:rPr>
        <w:noProof/>
      </w:rPr>
      <w:t>5</w:t>
    </w:r>
    <w:r>
      <w:fldChar w:fldCharType="end"/>
    </w:r>
  </w:p>
  <w:p w:rsidR="00965168" w:rsidRDefault="0096516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68" w:rsidRPr="00965168" w:rsidRDefault="002142AD" w:rsidP="002142AD">
    <w:pPr>
      <w:pStyle w:val="Antrats"/>
      <w:tabs>
        <w:tab w:val="left" w:pos="9195"/>
        <w:tab w:val="right" w:pos="10261"/>
      </w:tabs>
      <w:rPr>
        <w:b/>
      </w:rPr>
    </w:pPr>
    <w:r>
      <w:rPr>
        <w:b/>
      </w:rPr>
      <w:tab/>
    </w:r>
  </w:p>
  <w:p w:rsidR="00965168" w:rsidRDefault="00965168">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68" w:rsidRDefault="00965168">
    <w:pPr>
      <w:pStyle w:val="Antrats"/>
      <w:jc w:val="center"/>
    </w:pPr>
  </w:p>
  <w:p w:rsidR="00965168" w:rsidRDefault="009651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92689"/>
    <w:multiLevelType w:val="hybridMultilevel"/>
    <w:tmpl w:val="369EA04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129A42DA"/>
    <w:multiLevelType w:val="hybridMultilevel"/>
    <w:tmpl w:val="CF768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5FC759A"/>
    <w:multiLevelType w:val="hybridMultilevel"/>
    <w:tmpl w:val="E46EEF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5870170B"/>
    <w:multiLevelType w:val="hybridMultilevel"/>
    <w:tmpl w:val="7C2E7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6A756CA"/>
    <w:multiLevelType w:val="hybridMultilevel"/>
    <w:tmpl w:val="9882247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73D329DD"/>
    <w:multiLevelType w:val="hybridMultilevel"/>
    <w:tmpl w:val="3E64F56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B9"/>
    <w:rsid w:val="00004382"/>
    <w:rsid w:val="00023C93"/>
    <w:rsid w:val="000464AD"/>
    <w:rsid w:val="0005565A"/>
    <w:rsid w:val="0008259C"/>
    <w:rsid w:val="000A50EE"/>
    <w:rsid w:val="000B7F74"/>
    <w:rsid w:val="000E390B"/>
    <w:rsid w:val="00131810"/>
    <w:rsid w:val="00163843"/>
    <w:rsid w:val="0016601E"/>
    <w:rsid w:val="00176C56"/>
    <w:rsid w:val="00190F20"/>
    <w:rsid w:val="001A6DF9"/>
    <w:rsid w:val="001F0CC8"/>
    <w:rsid w:val="002142AD"/>
    <w:rsid w:val="002228C6"/>
    <w:rsid w:val="0025156E"/>
    <w:rsid w:val="002615C7"/>
    <w:rsid w:val="00272193"/>
    <w:rsid w:val="00275514"/>
    <w:rsid w:val="00286774"/>
    <w:rsid w:val="002912A8"/>
    <w:rsid w:val="002C16E8"/>
    <w:rsid w:val="00326CA6"/>
    <w:rsid w:val="003510BA"/>
    <w:rsid w:val="003A184A"/>
    <w:rsid w:val="003B67D4"/>
    <w:rsid w:val="003F0BA4"/>
    <w:rsid w:val="00402A14"/>
    <w:rsid w:val="00421669"/>
    <w:rsid w:val="004550C9"/>
    <w:rsid w:val="00481BF5"/>
    <w:rsid w:val="00485A04"/>
    <w:rsid w:val="004A621E"/>
    <w:rsid w:val="004C0247"/>
    <w:rsid w:val="004F3174"/>
    <w:rsid w:val="004F3EC7"/>
    <w:rsid w:val="004F46CA"/>
    <w:rsid w:val="00507AEC"/>
    <w:rsid w:val="0053652F"/>
    <w:rsid w:val="005540A3"/>
    <w:rsid w:val="00576F5A"/>
    <w:rsid w:val="00587F42"/>
    <w:rsid w:val="005A7A79"/>
    <w:rsid w:val="005C4019"/>
    <w:rsid w:val="00621D1B"/>
    <w:rsid w:val="00655100"/>
    <w:rsid w:val="00655596"/>
    <w:rsid w:val="006D405A"/>
    <w:rsid w:val="006D44A9"/>
    <w:rsid w:val="006D4A75"/>
    <w:rsid w:val="0070335E"/>
    <w:rsid w:val="007050B9"/>
    <w:rsid w:val="00723A07"/>
    <w:rsid w:val="0074088A"/>
    <w:rsid w:val="0074182E"/>
    <w:rsid w:val="00741AAC"/>
    <w:rsid w:val="00743606"/>
    <w:rsid w:val="007537C7"/>
    <w:rsid w:val="007A1E34"/>
    <w:rsid w:val="007C216E"/>
    <w:rsid w:val="007C4E9E"/>
    <w:rsid w:val="007C62C4"/>
    <w:rsid w:val="007D0EA5"/>
    <w:rsid w:val="00804CD1"/>
    <w:rsid w:val="008D3099"/>
    <w:rsid w:val="008D7313"/>
    <w:rsid w:val="008D77D5"/>
    <w:rsid w:val="008E4AB6"/>
    <w:rsid w:val="008F1C80"/>
    <w:rsid w:val="00926E90"/>
    <w:rsid w:val="00951C37"/>
    <w:rsid w:val="00965168"/>
    <w:rsid w:val="009729A9"/>
    <w:rsid w:val="009760E4"/>
    <w:rsid w:val="00981F76"/>
    <w:rsid w:val="00982047"/>
    <w:rsid w:val="009B42EB"/>
    <w:rsid w:val="00A24283"/>
    <w:rsid w:val="00A5514B"/>
    <w:rsid w:val="00A563DC"/>
    <w:rsid w:val="00A74AB3"/>
    <w:rsid w:val="00A762A8"/>
    <w:rsid w:val="00A82199"/>
    <w:rsid w:val="00AA0E40"/>
    <w:rsid w:val="00AC1EAF"/>
    <w:rsid w:val="00AC55B8"/>
    <w:rsid w:val="00B076F9"/>
    <w:rsid w:val="00B254AB"/>
    <w:rsid w:val="00B37F32"/>
    <w:rsid w:val="00B4182F"/>
    <w:rsid w:val="00B50D09"/>
    <w:rsid w:val="00BC5310"/>
    <w:rsid w:val="00BE5D74"/>
    <w:rsid w:val="00C22506"/>
    <w:rsid w:val="00C34C94"/>
    <w:rsid w:val="00C37997"/>
    <w:rsid w:val="00C8329D"/>
    <w:rsid w:val="00CB3905"/>
    <w:rsid w:val="00CE1673"/>
    <w:rsid w:val="00CE7150"/>
    <w:rsid w:val="00D11B20"/>
    <w:rsid w:val="00D2640F"/>
    <w:rsid w:val="00DE22C8"/>
    <w:rsid w:val="00DE7659"/>
    <w:rsid w:val="00DF2727"/>
    <w:rsid w:val="00DF4742"/>
    <w:rsid w:val="00DF7761"/>
    <w:rsid w:val="00E047BA"/>
    <w:rsid w:val="00EC3B15"/>
    <w:rsid w:val="00EC5A3E"/>
    <w:rsid w:val="00ED1A40"/>
    <w:rsid w:val="00EF1F61"/>
    <w:rsid w:val="00F425A1"/>
    <w:rsid w:val="00F51FF5"/>
    <w:rsid w:val="00F970D0"/>
    <w:rsid w:val="00FD45AE"/>
    <w:rsid w:val="00FE4235"/>
    <w:rsid w:val="00FE442B"/>
    <w:rsid w:val="00FE756F"/>
    <w:rsid w:val="00FF5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050B9"/>
    <w:rPr>
      <w:sz w:val="24"/>
      <w:szCs w:val="24"/>
      <w:lang w:eastAsia="en-US"/>
    </w:rPr>
  </w:style>
  <w:style w:type="paragraph" w:styleId="Antrat1">
    <w:name w:val="heading 1"/>
    <w:basedOn w:val="prastasis"/>
    <w:next w:val="prastasis"/>
    <w:qFormat/>
    <w:rsid w:val="003510BA"/>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rsid w:val="007050B9"/>
    <w:pPr>
      <w:spacing w:before="100" w:beforeAutospacing="1" w:after="100" w:afterAutospacing="1"/>
    </w:pPr>
    <w:rPr>
      <w:rFonts w:ascii="Arial" w:hAnsi="Arial" w:cs="Arial"/>
      <w:color w:val="000000"/>
      <w:sz w:val="17"/>
      <w:szCs w:val="17"/>
      <w:lang w:eastAsia="lt-LT"/>
    </w:rPr>
  </w:style>
  <w:style w:type="table" w:styleId="Lentelstinklelis">
    <w:name w:val="Table Grid"/>
    <w:basedOn w:val="prastojilentel"/>
    <w:rsid w:val="007050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qFormat/>
    <w:rsid w:val="007050B9"/>
    <w:pPr>
      <w:spacing w:after="200" w:line="276" w:lineRule="auto"/>
      <w:ind w:left="720"/>
      <w:contextualSpacing/>
    </w:pPr>
    <w:rPr>
      <w:rFonts w:ascii="Calibri" w:eastAsia="Calibri" w:hAnsi="Calibri"/>
      <w:sz w:val="22"/>
      <w:szCs w:val="22"/>
    </w:rPr>
  </w:style>
  <w:style w:type="character" w:customStyle="1" w:styleId="mtextantraste1">
    <w:name w:val="m_text_antraste1"/>
    <w:rsid w:val="007050B9"/>
    <w:rPr>
      <w:rFonts w:ascii="Arial" w:hAnsi="Arial" w:cs="Arial" w:hint="default"/>
      <w:b/>
      <w:bCs/>
      <w:color w:val="4C6C97"/>
      <w:sz w:val="17"/>
      <w:szCs w:val="17"/>
    </w:rPr>
  </w:style>
  <w:style w:type="paragraph" w:styleId="Pagrindinistekstas">
    <w:name w:val="Body Text"/>
    <w:basedOn w:val="prastasis"/>
    <w:rsid w:val="003510BA"/>
    <w:pPr>
      <w:jc w:val="center"/>
    </w:pPr>
    <w:rPr>
      <w:b/>
      <w:bCs/>
      <w:lang w:eastAsia="lt-LT"/>
    </w:rPr>
  </w:style>
  <w:style w:type="paragraph" w:styleId="Pagrindinistekstas2">
    <w:name w:val="Body Text 2"/>
    <w:basedOn w:val="prastasis"/>
    <w:rsid w:val="003510BA"/>
    <w:pPr>
      <w:spacing w:line="360" w:lineRule="auto"/>
      <w:jc w:val="both"/>
    </w:pPr>
    <w:rPr>
      <w:lang w:eastAsia="lt-LT"/>
    </w:rPr>
  </w:style>
  <w:style w:type="paragraph" w:styleId="Porat">
    <w:name w:val="footer"/>
    <w:basedOn w:val="prastasis"/>
    <w:rsid w:val="0070335E"/>
    <w:pPr>
      <w:tabs>
        <w:tab w:val="center" w:pos="4819"/>
        <w:tab w:val="right" w:pos="9638"/>
      </w:tabs>
    </w:pPr>
  </w:style>
  <w:style w:type="character" w:styleId="Puslapionumeris">
    <w:name w:val="page number"/>
    <w:basedOn w:val="Numatytasispastraiposriftas"/>
    <w:rsid w:val="0070335E"/>
  </w:style>
  <w:style w:type="paragraph" w:styleId="Debesliotekstas">
    <w:name w:val="Balloon Text"/>
    <w:basedOn w:val="prastasis"/>
    <w:semiHidden/>
    <w:rsid w:val="00FE756F"/>
    <w:rPr>
      <w:rFonts w:ascii="Tahoma" w:hAnsi="Tahoma" w:cs="Tahoma"/>
      <w:sz w:val="16"/>
      <w:szCs w:val="16"/>
    </w:rPr>
  </w:style>
  <w:style w:type="paragraph" w:styleId="Antrats">
    <w:name w:val="header"/>
    <w:basedOn w:val="prastasis"/>
    <w:link w:val="AntratsDiagrama"/>
    <w:uiPriority w:val="99"/>
    <w:rsid w:val="00A24283"/>
    <w:pPr>
      <w:tabs>
        <w:tab w:val="center" w:pos="4819"/>
        <w:tab w:val="right" w:pos="9638"/>
      </w:tabs>
    </w:pPr>
  </w:style>
  <w:style w:type="paragraph" w:customStyle="1" w:styleId="Sraopastraipa1">
    <w:name w:val="Sąrašo pastraipa1"/>
    <w:basedOn w:val="prastasis"/>
    <w:rsid w:val="008F1C80"/>
    <w:pPr>
      <w:spacing w:after="200" w:line="276" w:lineRule="auto"/>
      <w:ind w:left="720"/>
      <w:contextualSpacing/>
    </w:pPr>
    <w:rPr>
      <w:rFonts w:ascii="Calibri" w:hAnsi="Calibri"/>
      <w:sz w:val="22"/>
      <w:szCs w:val="22"/>
    </w:rPr>
  </w:style>
  <w:style w:type="character" w:styleId="Hipersaitas">
    <w:name w:val="Hyperlink"/>
    <w:rsid w:val="00DF2727"/>
    <w:rPr>
      <w:color w:val="0000FF"/>
      <w:u w:val="single"/>
    </w:rPr>
  </w:style>
  <w:style w:type="character" w:customStyle="1" w:styleId="AntratsDiagrama">
    <w:name w:val="Antraštės Diagrama"/>
    <w:link w:val="Antrats"/>
    <w:uiPriority w:val="99"/>
    <w:rsid w:val="008D7313"/>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050B9"/>
    <w:rPr>
      <w:sz w:val="24"/>
      <w:szCs w:val="24"/>
      <w:lang w:eastAsia="en-US"/>
    </w:rPr>
  </w:style>
  <w:style w:type="paragraph" w:styleId="Antrat1">
    <w:name w:val="heading 1"/>
    <w:basedOn w:val="prastasis"/>
    <w:next w:val="prastasis"/>
    <w:qFormat/>
    <w:rsid w:val="003510BA"/>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rsid w:val="007050B9"/>
    <w:pPr>
      <w:spacing w:before="100" w:beforeAutospacing="1" w:after="100" w:afterAutospacing="1"/>
    </w:pPr>
    <w:rPr>
      <w:rFonts w:ascii="Arial" w:hAnsi="Arial" w:cs="Arial"/>
      <w:color w:val="000000"/>
      <w:sz w:val="17"/>
      <w:szCs w:val="17"/>
      <w:lang w:eastAsia="lt-LT"/>
    </w:rPr>
  </w:style>
  <w:style w:type="table" w:styleId="Lentelstinklelis">
    <w:name w:val="Table Grid"/>
    <w:basedOn w:val="prastojilentel"/>
    <w:rsid w:val="007050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qFormat/>
    <w:rsid w:val="007050B9"/>
    <w:pPr>
      <w:spacing w:after="200" w:line="276" w:lineRule="auto"/>
      <w:ind w:left="720"/>
      <w:contextualSpacing/>
    </w:pPr>
    <w:rPr>
      <w:rFonts w:ascii="Calibri" w:eastAsia="Calibri" w:hAnsi="Calibri"/>
      <w:sz w:val="22"/>
      <w:szCs w:val="22"/>
    </w:rPr>
  </w:style>
  <w:style w:type="character" w:customStyle="1" w:styleId="mtextantraste1">
    <w:name w:val="m_text_antraste1"/>
    <w:rsid w:val="007050B9"/>
    <w:rPr>
      <w:rFonts w:ascii="Arial" w:hAnsi="Arial" w:cs="Arial" w:hint="default"/>
      <w:b/>
      <w:bCs/>
      <w:color w:val="4C6C97"/>
      <w:sz w:val="17"/>
      <w:szCs w:val="17"/>
    </w:rPr>
  </w:style>
  <w:style w:type="paragraph" w:styleId="Pagrindinistekstas">
    <w:name w:val="Body Text"/>
    <w:basedOn w:val="prastasis"/>
    <w:rsid w:val="003510BA"/>
    <w:pPr>
      <w:jc w:val="center"/>
    </w:pPr>
    <w:rPr>
      <w:b/>
      <w:bCs/>
      <w:lang w:eastAsia="lt-LT"/>
    </w:rPr>
  </w:style>
  <w:style w:type="paragraph" w:styleId="Pagrindinistekstas2">
    <w:name w:val="Body Text 2"/>
    <w:basedOn w:val="prastasis"/>
    <w:rsid w:val="003510BA"/>
    <w:pPr>
      <w:spacing w:line="360" w:lineRule="auto"/>
      <w:jc w:val="both"/>
    </w:pPr>
    <w:rPr>
      <w:lang w:eastAsia="lt-LT"/>
    </w:rPr>
  </w:style>
  <w:style w:type="paragraph" w:styleId="Porat">
    <w:name w:val="footer"/>
    <w:basedOn w:val="prastasis"/>
    <w:rsid w:val="0070335E"/>
    <w:pPr>
      <w:tabs>
        <w:tab w:val="center" w:pos="4819"/>
        <w:tab w:val="right" w:pos="9638"/>
      </w:tabs>
    </w:pPr>
  </w:style>
  <w:style w:type="character" w:styleId="Puslapionumeris">
    <w:name w:val="page number"/>
    <w:basedOn w:val="Numatytasispastraiposriftas"/>
    <w:rsid w:val="0070335E"/>
  </w:style>
  <w:style w:type="paragraph" w:styleId="Debesliotekstas">
    <w:name w:val="Balloon Text"/>
    <w:basedOn w:val="prastasis"/>
    <w:semiHidden/>
    <w:rsid w:val="00FE756F"/>
    <w:rPr>
      <w:rFonts w:ascii="Tahoma" w:hAnsi="Tahoma" w:cs="Tahoma"/>
      <w:sz w:val="16"/>
      <w:szCs w:val="16"/>
    </w:rPr>
  </w:style>
  <w:style w:type="paragraph" w:styleId="Antrats">
    <w:name w:val="header"/>
    <w:basedOn w:val="prastasis"/>
    <w:link w:val="AntratsDiagrama"/>
    <w:uiPriority w:val="99"/>
    <w:rsid w:val="00A24283"/>
    <w:pPr>
      <w:tabs>
        <w:tab w:val="center" w:pos="4819"/>
        <w:tab w:val="right" w:pos="9638"/>
      </w:tabs>
    </w:pPr>
  </w:style>
  <w:style w:type="paragraph" w:customStyle="1" w:styleId="Sraopastraipa1">
    <w:name w:val="Sąrašo pastraipa1"/>
    <w:basedOn w:val="prastasis"/>
    <w:rsid w:val="008F1C80"/>
    <w:pPr>
      <w:spacing w:after="200" w:line="276" w:lineRule="auto"/>
      <w:ind w:left="720"/>
      <w:contextualSpacing/>
    </w:pPr>
    <w:rPr>
      <w:rFonts w:ascii="Calibri" w:hAnsi="Calibri"/>
      <w:sz w:val="22"/>
      <w:szCs w:val="22"/>
    </w:rPr>
  </w:style>
  <w:style w:type="character" w:styleId="Hipersaitas">
    <w:name w:val="Hyperlink"/>
    <w:rsid w:val="00DF2727"/>
    <w:rPr>
      <w:color w:val="0000FF"/>
      <w:u w:val="single"/>
    </w:rPr>
  </w:style>
  <w:style w:type="character" w:customStyle="1" w:styleId="AntratsDiagrama">
    <w:name w:val="Antraštės Diagrama"/>
    <w:link w:val="Antrats"/>
    <w:uiPriority w:val="99"/>
    <w:rsid w:val="008D731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yperlink" Target="http://www.kretingosjaunimas.lt"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Sheet1!$A$1</c:f>
              <c:strCache>
                <c:ptCount val="1"/>
                <c:pt idx="0">
                  <c:v>Mokiniai </c:v>
                </c:pt>
              </c:strCache>
            </c:strRef>
          </c:tx>
          <c:invertIfNegative val="0"/>
          <c:dLbls>
            <c:showLegendKey val="0"/>
            <c:showVal val="1"/>
            <c:showCatName val="0"/>
            <c:showSerName val="0"/>
            <c:showPercent val="0"/>
            <c:showBubbleSize val="0"/>
            <c:showLeaderLines val="0"/>
          </c:dLbls>
          <c:val>
            <c:numRef>
              <c:f>Sheet1!$B$1:$D$1</c:f>
              <c:numCache>
                <c:formatCode>General</c:formatCode>
                <c:ptCount val="3"/>
                <c:pt idx="0">
                  <c:v>2195</c:v>
                </c:pt>
              </c:numCache>
            </c:numRef>
          </c:val>
        </c:ser>
        <c:ser>
          <c:idx val="1"/>
          <c:order val="1"/>
          <c:tx>
            <c:strRef>
              <c:f>Sheet1!$A$2</c:f>
              <c:strCache>
                <c:ptCount val="1"/>
                <c:pt idx="0">
                  <c:v>Jaunos šeimos</c:v>
                </c:pt>
              </c:strCache>
            </c:strRef>
          </c:tx>
          <c:invertIfNegative val="0"/>
          <c:dLbls>
            <c:showLegendKey val="0"/>
            <c:showVal val="1"/>
            <c:showCatName val="0"/>
            <c:showSerName val="0"/>
            <c:showPercent val="0"/>
            <c:showBubbleSize val="0"/>
            <c:showLeaderLines val="0"/>
          </c:dLbls>
          <c:val>
            <c:numRef>
              <c:f>Sheet1!$B$2:$D$2</c:f>
              <c:numCache>
                <c:formatCode>General</c:formatCode>
                <c:ptCount val="3"/>
                <c:pt idx="1">
                  <c:v>288</c:v>
                </c:pt>
              </c:numCache>
            </c:numRef>
          </c:val>
        </c:ser>
        <c:ser>
          <c:idx val="2"/>
          <c:order val="2"/>
          <c:tx>
            <c:strRef>
              <c:f>Sheet1!$A$3</c:f>
              <c:strCache>
                <c:ptCount val="1"/>
                <c:pt idx="0">
                  <c:v>Studijuojantis, dirbantis jaunimas</c:v>
                </c:pt>
              </c:strCache>
            </c:strRef>
          </c:tx>
          <c:invertIfNegative val="0"/>
          <c:dLbls>
            <c:showLegendKey val="0"/>
            <c:showVal val="1"/>
            <c:showCatName val="0"/>
            <c:showSerName val="0"/>
            <c:showPercent val="0"/>
            <c:showBubbleSize val="0"/>
            <c:showLeaderLines val="0"/>
          </c:dLbls>
          <c:val>
            <c:numRef>
              <c:f>Sheet1!$B$3:$D$3</c:f>
              <c:numCache>
                <c:formatCode>General</c:formatCode>
                <c:ptCount val="3"/>
                <c:pt idx="2">
                  <c:v>176</c:v>
                </c:pt>
              </c:numCache>
            </c:numRef>
          </c:val>
        </c:ser>
        <c:dLbls>
          <c:showLegendKey val="0"/>
          <c:showVal val="0"/>
          <c:showCatName val="0"/>
          <c:showSerName val="0"/>
          <c:showPercent val="0"/>
          <c:showBubbleSize val="0"/>
        </c:dLbls>
        <c:gapWidth val="150"/>
        <c:overlap val="100"/>
        <c:axId val="112945792"/>
        <c:axId val="112947584"/>
      </c:barChart>
      <c:catAx>
        <c:axId val="112945792"/>
        <c:scaling>
          <c:orientation val="minMax"/>
        </c:scaling>
        <c:delete val="0"/>
        <c:axPos val="l"/>
        <c:majorTickMark val="out"/>
        <c:minorTickMark val="none"/>
        <c:tickLblPos val="nextTo"/>
        <c:crossAx val="112947584"/>
        <c:crosses val="autoZero"/>
        <c:auto val="1"/>
        <c:lblAlgn val="ctr"/>
        <c:lblOffset val="100"/>
        <c:noMultiLvlLbl val="0"/>
      </c:catAx>
      <c:valAx>
        <c:axId val="112947584"/>
        <c:scaling>
          <c:orientation val="minMax"/>
        </c:scaling>
        <c:delete val="0"/>
        <c:axPos val="b"/>
        <c:majorGridlines/>
        <c:numFmt formatCode="General" sourceLinked="1"/>
        <c:majorTickMark val="out"/>
        <c:minorTickMark val="none"/>
        <c:tickLblPos val="nextTo"/>
        <c:crossAx val="112945792"/>
        <c:crosses val="autoZero"/>
        <c:crossBetween val="between"/>
      </c:valAx>
    </c:plotArea>
    <c:legend>
      <c:legendPos val="r"/>
      <c:layout>
        <c:manualLayout>
          <c:xMode val="edge"/>
          <c:yMode val="edge"/>
          <c:x val="0.69410377548960223"/>
          <c:y val="0.21644101778944339"/>
          <c:w val="0.29051160912578272"/>
          <c:h val="0.4930438903470405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Sheet1!$A$2</c:f>
              <c:strCache>
                <c:ptCount val="1"/>
                <c:pt idx="0">
                  <c:v>Kaimo bendruomenės</c:v>
                </c:pt>
              </c:strCache>
            </c:strRef>
          </c:tx>
          <c:invertIfNegative val="0"/>
          <c:dLbls>
            <c:showLegendKey val="0"/>
            <c:showVal val="1"/>
            <c:showCatName val="0"/>
            <c:showSerName val="0"/>
            <c:showPercent val="0"/>
            <c:showBubbleSize val="0"/>
            <c:showLeaderLines val="0"/>
          </c:dLbls>
          <c:val>
            <c:numRef>
              <c:f>Sheet1!$B$2:$E$2</c:f>
              <c:numCache>
                <c:formatCode>General</c:formatCode>
                <c:ptCount val="4"/>
                <c:pt idx="0">
                  <c:v>8</c:v>
                </c:pt>
              </c:numCache>
            </c:numRef>
          </c:val>
        </c:ser>
        <c:ser>
          <c:idx val="1"/>
          <c:order val="1"/>
          <c:tx>
            <c:strRef>
              <c:f>Sheet1!$A$3</c:f>
              <c:strCache>
                <c:ptCount val="1"/>
                <c:pt idx="0">
                  <c:v>Kultūros centrų skyriai</c:v>
                </c:pt>
              </c:strCache>
            </c:strRef>
          </c:tx>
          <c:invertIfNegative val="0"/>
          <c:dLbls>
            <c:showLegendKey val="0"/>
            <c:showVal val="1"/>
            <c:showCatName val="0"/>
            <c:showSerName val="0"/>
            <c:showPercent val="0"/>
            <c:showBubbleSize val="0"/>
            <c:showLeaderLines val="0"/>
          </c:dLbls>
          <c:val>
            <c:numRef>
              <c:f>Sheet1!$B$3:$E$3</c:f>
              <c:numCache>
                <c:formatCode>General</c:formatCode>
                <c:ptCount val="4"/>
                <c:pt idx="1">
                  <c:v>3</c:v>
                </c:pt>
              </c:numCache>
            </c:numRef>
          </c:val>
        </c:ser>
        <c:ser>
          <c:idx val="2"/>
          <c:order val="2"/>
          <c:tx>
            <c:strRef>
              <c:f>Sheet1!$A$4</c:f>
              <c:strCache>
                <c:ptCount val="1"/>
                <c:pt idx="0">
                  <c:v>Mokyklos </c:v>
                </c:pt>
              </c:strCache>
            </c:strRef>
          </c:tx>
          <c:invertIfNegative val="0"/>
          <c:dLbls>
            <c:showLegendKey val="0"/>
            <c:showVal val="1"/>
            <c:showCatName val="0"/>
            <c:showSerName val="0"/>
            <c:showPercent val="0"/>
            <c:showBubbleSize val="0"/>
            <c:showLeaderLines val="0"/>
          </c:dLbls>
          <c:val>
            <c:numRef>
              <c:f>Sheet1!$B$4:$E$4</c:f>
              <c:numCache>
                <c:formatCode>General</c:formatCode>
                <c:ptCount val="4"/>
                <c:pt idx="2">
                  <c:v>3</c:v>
                </c:pt>
              </c:numCache>
            </c:numRef>
          </c:val>
        </c:ser>
        <c:ser>
          <c:idx val="3"/>
          <c:order val="3"/>
          <c:tx>
            <c:strRef>
              <c:f>Sheet1!$A$5</c:f>
              <c:strCache>
                <c:ptCount val="1"/>
                <c:pt idx="0">
                  <c:v>Biblioteka</c:v>
                </c:pt>
              </c:strCache>
            </c:strRef>
          </c:tx>
          <c:invertIfNegative val="0"/>
          <c:dLbls>
            <c:showLegendKey val="0"/>
            <c:showVal val="1"/>
            <c:showCatName val="0"/>
            <c:showSerName val="0"/>
            <c:showPercent val="0"/>
            <c:showBubbleSize val="0"/>
            <c:showLeaderLines val="0"/>
          </c:dLbls>
          <c:val>
            <c:numRef>
              <c:f>Sheet1!$B$5:$E$5</c:f>
              <c:numCache>
                <c:formatCode>General</c:formatCode>
                <c:ptCount val="4"/>
                <c:pt idx="3">
                  <c:v>1</c:v>
                </c:pt>
              </c:numCache>
            </c:numRef>
          </c:val>
        </c:ser>
        <c:dLbls>
          <c:showLegendKey val="0"/>
          <c:showVal val="0"/>
          <c:showCatName val="0"/>
          <c:showSerName val="0"/>
          <c:showPercent val="0"/>
          <c:showBubbleSize val="0"/>
        </c:dLbls>
        <c:gapWidth val="150"/>
        <c:overlap val="100"/>
        <c:axId val="116285824"/>
        <c:axId val="116287360"/>
      </c:barChart>
      <c:catAx>
        <c:axId val="116285824"/>
        <c:scaling>
          <c:orientation val="minMax"/>
        </c:scaling>
        <c:delete val="0"/>
        <c:axPos val="l"/>
        <c:majorTickMark val="out"/>
        <c:minorTickMark val="none"/>
        <c:tickLblPos val="nextTo"/>
        <c:crossAx val="116287360"/>
        <c:crosses val="autoZero"/>
        <c:auto val="1"/>
        <c:lblAlgn val="ctr"/>
        <c:lblOffset val="100"/>
        <c:noMultiLvlLbl val="0"/>
      </c:catAx>
      <c:valAx>
        <c:axId val="116287360"/>
        <c:scaling>
          <c:orientation val="minMax"/>
        </c:scaling>
        <c:delete val="0"/>
        <c:axPos val="b"/>
        <c:majorGridlines/>
        <c:numFmt formatCode="General" sourceLinked="1"/>
        <c:majorTickMark val="out"/>
        <c:minorTickMark val="none"/>
        <c:tickLblPos val="nextTo"/>
        <c:crossAx val="116285824"/>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Pt>
            <c:idx val="0"/>
            <c:bubble3D val="0"/>
          </c:dPt>
          <c:dPt>
            <c:idx val="1"/>
            <c:bubble3D val="0"/>
          </c:dPt>
          <c:dPt>
            <c:idx val="2"/>
            <c:bubble3D val="0"/>
          </c:dPt>
          <c:dPt>
            <c:idx val="3"/>
            <c:bubble3D val="0"/>
          </c:dPt>
          <c:dPt>
            <c:idx val="4"/>
            <c:bubble3D val="0"/>
          </c:dPt>
          <c:dLbls>
            <c:dLbl>
              <c:idx val="0"/>
              <c:layout>
                <c:manualLayout>
                  <c:x val="-3.1262270165290998E-2"/>
                  <c:y val="-0.11852797106757004"/>
                </c:manualLayout>
              </c:layout>
              <c:spPr/>
              <c:txPr>
                <a:bodyPr/>
                <a:lstStyle/>
                <a:p>
                  <a:pPr>
                    <a:defRPr/>
                  </a:pPr>
                  <a:endParaRPr lang="lt-LT"/>
                </a:p>
              </c:txPr>
              <c:dLblPos val="bestFit"/>
              <c:showLegendKey val="1"/>
              <c:showVal val="1"/>
              <c:showCatName val="1"/>
              <c:showSerName val="1"/>
              <c:showPercent val="1"/>
              <c:showBubbleSize val="1"/>
            </c:dLbl>
            <c:dLbl>
              <c:idx val="1"/>
              <c:layout>
                <c:manualLayout>
                  <c:x val="2.7095603498624336E-2"/>
                  <c:y val="1.5127723860098884E-2"/>
                </c:manualLayout>
              </c:layout>
              <c:spPr/>
              <c:txPr>
                <a:bodyPr/>
                <a:lstStyle/>
                <a:p>
                  <a:pPr>
                    <a:defRPr/>
                  </a:pPr>
                  <a:endParaRPr lang="lt-LT"/>
                </a:p>
              </c:txPr>
              <c:dLblPos val="bestFit"/>
              <c:showLegendKey val="1"/>
              <c:showVal val="1"/>
              <c:showCatName val="1"/>
              <c:showSerName val="1"/>
              <c:showPercent val="1"/>
              <c:showBubbleSize val="1"/>
            </c:dLbl>
            <c:dLbl>
              <c:idx val="2"/>
              <c:layout>
                <c:manualLayout>
                  <c:x val="-2.4968686890010063E-2"/>
                  <c:y val="-0.10522168558872001"/>
                </c:manualLayout>
              </c:layout>
              <c:spPr/>
              <c:txPr>
                <a:bodyPr/>
                <a:lstStyle/>
                <a:p>
                  <a:pPr>
                    <a:defRPr/>
                  </a:pPr>
                  <a:endParaRPr lang="lt-LT"/>
                </a:p>
              </c:txPr>
              <c:dLblPos val="bestFit"/>
              <c:showLegendKey val="1"/>
              <c:showVal val="1"/>
              <c:showCatName val="1"/>
              <c:showSerName val="1"/>
              <c:showPercent val="1"/>
              <c:showBubbleSize val="1"/>
            </c:dLbl>
            <c:dLbl>
              <c:idx val="3"/>
              <c:layout>
                <c:manualLayout>
                  <c:x val="1.6432785881657554E-2"/>
                  <c:y val="-6.0710034792162609E-2"/>
                </c:manualLayout>
              </c:layout>
              <c:spPr/>
              <c:txPr>
                <a:bodyPr/>
                <a:lstStyle/>
                <a:p>
                  <a:pPr>
                    <a:defRPr/>
                  </a:pPr>
                  <a:endParaRPr lang="lt-LT"/>
                </a:p>
              </c:txPr>
              <c:dLblPos val="bestFit"/>
              <c:showLegendKey val="1"/>
              <c:showVal val="1"/>
              <c:showCatName val="1"/>
              <c:showSerName val="1"/>
              <c:showPercent val="1"/>
              <c:showBubbleSize val="1"/>
            </c:dLbl>
            <c:showLegendKey val="1"/>
            <c:showVal val="1"/>
            <c:showCatName val="1"/>
            <c:showSerName val="1"/>
            <c:showPercent val="1"/>
            <c:showBubbleSize val="1"/>
            <c:showLeaderLines val="1"/>
          </c:dLbls>
          <c:cat>
            <c:strRef>
              <c:f>Lapas1!$B$1:$F$1</c:f>
              <c:strCache>
                <c:ptCount val="5"/>
                <c:pt idx="0">
                  <c:v>Renginiai</c:v>
                </c:pt>
                <c:pt idx="1">
                  <c:v>Forumas</c:v>
                </c:pt>
                <c:pt idx="2">
                  <c:v>Jaunimo mokymai</c:v>
                </c:pt>
                <c:pt idx="3">
                  <c:v>Jaunimo darbuotojų mokymai</c:v>
                </c:pt>
                <c:pt idx="4">
                  <c:v>Viešinimas, informacinė sklaida</c:v>
                </c:pt>
              </c:strCache>
            </c:strRef>
          </c:cat>
          <c:val>
            <c:numRef>
              <c:f>Lapas1!$B$2:$F$2</c:f>
              <c:numCache>
                <c:formatCode>General</c:formatCode>
                <c:ptCount val="5"/>
                <c:pt idx="0">
                  <c:v>1569.98</c:v>
                </c:pt>
                <c:pt idx="1">
                  <c:v>245</c:v>
                </c:pt>
                <c:pt idx="2">
                  <c:v>319.35000000000002</c:v>
                </c:pt>
                <c:pt idx="3">
                  <c:v>915.72</c:v>
                </c:pt>
                <c:pt idx="4">
                  <c:v>249.33</c:v>
                </c:pt>
              </c:numCache>
            </c:numRef>
          </c:val>
        </c:ser>
        <c:dLbls>
          <c:showLegendKey val="0"/>
          <c:showVal val="0"/>
          <c:showCatName val="0"/>
          <c:showSerName val="0"/>
          <c:showPercent val="0"/>
          <c:showBubbleSize val="0"/>
          <c:showLeaderLines val="1"/>
        </c:dLbls>
      </c:pie3DChart>
      <c:spPr>
        <a:noFill/>
        <a:ln w="25411">
          <a:noFill/>
        </a:ln>
      </c:spPr>
    </c:plotArea>
    <c:legend>
      <c:legendPos val="r"/>
      <c:overlay val="1"/>
    </c:legend>
    <c:plotVisOnly val="1"/>
    <c:dispBlanksAs val="gap"/>
    <c:showDLblsOverMax val="1"/>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invertIfNegative val="0"/>
          <c:dLbls>
            <c:dLbl>
              <c:idx val="0"/>
              <c:layout>
                <c:manualLayout>
                  <c:x val="4.721435316336166E-3"/>
                  <c:y val="-0.37087912087912089"/>
                </c:manualLayout>
              </c:layout>
              <c:showLegendKey val="0"/>
              <c:showVal val="1"/>
              <c:showCatName val="0"/>
              <c:showSerName val="0"/>
              <c:showPercent val="0"/>
              <c:showBubbleSize val="0"/>
            </c:dLbl>
            <c:dLbl>
              <c:idx val="1"/>
              <c:layout>
                <c:manualLayout>
                  <c:x val="0"/>
                  <c:y val="-0.25412087912087911"/>
                </c:manualLayout>
              </c:layout>
              <c:showLegendKey val="0"/>
              <c:showVal val="1"/>
              <c:showCatName val="0"/>
              <c:showSerName val="0"/>
              <c:showPercent val="0"/>
              <c:showBubbleSize val="0"/>
            </c:dLbl>
            <c:dLbl>
              <c:idx val="2"/>
              <c:layout>
                <c:manualLayout>
                  <c:x val="0"/>
                  <c:y val="-0.21978021978021978"/>
                </c:manualLayout>
              </c:layout>
              <c:showLegendKey val="0"/>
              <c:showVal val="1"/>
              <c:showCatName val="0"/>
              <c:showSerName val="0"/>
              <c:showPercent val="0"/>
              <c:showBubbleSize val="0"/>
            </c:dLbl>
            <c:dLbl>
              <c:idx val="3"/>
              <c:layout>
                <c:manualLayout>
                  <c:x val="4.721435316336166E-3"/>
                  <c:y val="-0.3571428571428571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Sheet1!$B$1:$E$1</c:f>
              <c:strCache>
                <c:ptCount val="4"/>
                <c:pt idx="0">
                  <c:v>I ketv. </c:v>
                </c:pt>
                <c:pt idx="1">
                  <c:v>II ketv. </c:v>
                </c:pt>
                <c:pt idx="2">
                  <c:v>III ketv. </c:v>
                </c:pt>
                <c:pt idx="3">
                  <c:v>IV ketv.</c:v>
                </c:pt>
              </c:strCache>
            </c:strRef>
          </c:cat>
          <c:val>
            <c:numRef>
              <c:f>Sheet1!$B$2:$E$2</c:f>
              <c:numCache>
                <c:formatCode>General</c:formatCode>
                <c:ptCount val="4"/>
                <c:pt idx="0">
                  <c:v>409</c:v>
                </c:pt>
                <c:pt idx="1">
                  <c:v>216</c:v>
                </c:pt>
                <c:pt idx="2">
                  <c:v>211</c:v>
                </c:pt>
                <c:pt idx="3">
                  <c:v>366</c:v>
                </c:pt>
              </c:numCache>
            </c:numRef>
          </c:val>
        </c:ser>
        <c:dLbls>
          <c:showLegendKey val="0"/>
          <c:showVal val="0"/>
          <c:showCatName val="0"/>
          <c:showSerName val="0"/>
          <c:showPercent val="0"/>
          <c:showBubbleSize val="0"/>
        </c:dLbls>
        <c:gapWidth val="150"/>
        <c:overlap val="100"/>
        <c:axId val="127006592"/>
        <c:axId val="127008128"/>
      </c:barChart>
      <c:catAx>
        <c:axId val="127006592"/>
        <c:scaling>
          <c:orientation val="minMax"/>
        </c:scaling>
        <c:delete val="0"/>
        <c:axPos val="b"/>
        <c:majorTickMark val="out"/>
        <c:minorTickMark val="none"/>
        <c:tickLblPos val="nextTo"/>
        <c:crossAx val="127008128"/>
        <c:crosses val="autoZero"/>
        <c:auto val="1"/>
        <c:lblAlgn val="ctr"/>
        <c:lblOffset val="100"/>
        <c:noMultiLvlLbl val="0"/>
      </c:catAx>
      <c:valAx>
        <c:axId val="127008128"/>
        <c:scaling>
          <c:orientation val="minMax"/>
        </c:scaling>
        <c:delete val="0"/>
        <c:axPos val="l"/>
        <c:majorGridlines/>
        <c:numFmt formatCode="General" sourceLinked="1"/>
        <c:majorTickMark val="out"/>
        <c:minorTickMark val="none"/>
        <c:tickLblPos val="nextTo"/>
        <c:crossAx val="12700659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1</Pages>
  <Words>6192</Words>
  <Characters>3530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9703</CharactersWithSpaces>
  <SharedDoc>false</SharedDoc>
  <HLinks>
    <vt:vector size="12" baseType="variant">
      <vt:variant>
        <vt:i4>7405621</vt:i4>
      </vt:variant>
      <vt:variant>
        <vt:i4>6</vt:i4>
      </vt:variant>
      <vt:variant>
        <vt:i4>0</vt:i4>
      </vt:variant>
      <vt:variant>
        <vt:i4>5</vt:i4>
      </vt:variant>
      <vt:variant>
        <vt:lpwstr>http://www.kretinga.lt/</vt:lpwstr>
      </vt:variant>
      <vt:variant>
        <vt:lpwstr/>
      </vt:variant>
      <vt:variant>
        <vt:i4>655386</vt:i4>
      </vt:variant>
      <vt:variant>
        <vt:i4>3</vt:i4>
      </vt:variant>
      <vt:variant>
        <vt:i4>0</vt:i4>
      </vt:variant>
      <vt:variant>
        <vt:i4>5</vt:i4>
      </vt:variant>
      <vt:variant>
        <vt:lpwstr>http://www.kretingosjaunimas.lt/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kretsav</dc:creator>
  <cp:lastModifiedBy>user</cp:lastModifiedBy>
  <cp:revision>9</cp:revision>
  <cp:lastPrinted>2014-02-14T09:39:00Z</cp:lastPrinted>
  <dcterms:created xsi:type="dcterms:W3CDTF">2016-04-15T11:13:00Z</dcterms:created>
  <dcterms:modified xsi:type="dcterms:W3CDTF">2016-04-29T06:58:00Z</dcterms:modified>
</cp:coreProperties>
</file>