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265" w:rsidRDefault="00556216" w:rsidP="00556216">
      <w:pPr>
        <w:jc w:val="both"/>
      </w:pPr>
      <w:r w:rsidRPr="002726AC">
        <w:t xml:space="preserve">                                                                </w:t>
      </w:r>
      <w:r w:rsidRPr="002726AC">
        <w:tab/>
      </w:r>
      <w:r w:rsidRPr="002726AC">
        <w:tab/>
        <w:t xml:space="preserve"> </w:t>
      </w:r>
      <w:r w:rsidR="00495265">
        <w:t xml:space="preserve">     PRITARTA</w:t>
      </w:r>
      <w:bookmarkStart w:id="0" w:name="_GoBack"/>
      <w:bookmarkEnd w:id="0"/>
    </w:p>
    <w:p w:rsidR="00556216" w:rsidRPr="002726AC" w:rsidRDefault="00495265" w:rsidP="00556216">
      <w:pPr>
        <w:jc w:val="both"/>
      </w:pPr>
      <w:r>
        <w:tab/>
      </w:r>
      <w:r>
        <w:tab/>
      </w:r>
      <w:r>
        <w:tab/>
      </w:r>
      <w:r>
        <w:tab/>
      </w:r>
      <w:r>
        <w:tab/>
      </w:r>
      <w:r>
        <w:tab/>
      </w:r>
      <w:r>
        <w:tab/>
        <w:t xml:space="preserve">      </w:t>
      </w:r>
      <w:r w:rsidR="00556216" w:rsidRPr="002726AC">
        <w:t>Kretingos rajono savivaldybės tarybos</w:t>
      </w:r>
    </w:p>
    <w:p w:rsidR="00556216" w:rsidRPr="002726AC" w:rsidRDefault="00556216" w:rsidP="00556216">
      <w:pPr>
        <w:jc w:val="both"/>
      </w:pPr>
      <w:r w:rsidRPr="002726AC">
        <w:t xml:space="preserve">                                                                 </w:t>
      </w:r>
      <w:r w:rsidRPr="002726AC">
        <w:tab/>
      </w:r>
      <w:r w:rsidRPr="002726AC">
        <w:tab/>
      </w:r>
      <w:r w:rsidR="00495265">
        <w:t xml:space="preserve">      </w:t>
      </w:r>
      <w:r w:rsidRPr="002726AC">
        <w:t xml:space="preserve">2016 m. balandžio </w:t>
      </w:r>
      <w:r w:rsidRPr="002726AC">
        <w:rPr>
          <w:lang w:val="en-US"/>
        </w:rPr>
        <w:t>2</w:t>
      </w:r>
      <w:r w:rsidR="005B4F70">
        <w:rPr>
          <w:lang w:val="en-US"/>
        </w:rPr>
        <w:t>7</w:t>
      </w:r>
      <w:r w:rsidRPr="002726AC">
        <w:rPr>
          <w:lang w:val="en-US"/>
        </w:rPr>
        <w:t xml:space="preserve"> </w:t>
      </w:r>
      <w:r w:rsidR="00495265">
        <w:t>d. sprendimu Nr. T2-129</w:t>
      </w:r>
      <w:r w:rsidRPr="002726AC">
        <w:t xml:space="preserve"> </w:t>
      </w:r>
    </w:p>
    <w:p w:rsidR="00556216" w:rsidRDefault="00556216" w:rsidP="00381C97">
      <w:pPr>
        <w:rPr>
          <w:noProof/>
        </w:rPr>
      </w:pPr>
    </w:p>
    <w:p w:rsidR="00833AFF" w:rsidRPr="002726AC" w:rsidRDefault="00833AFF" w:rsidP="00381C97">
      <w:pPr>
        <w:rPr>
          <w:noProof/>
        </w:rPr>
      </w:pPr>
    </w:p>
    <w:p w:rsidR="00381C97" w:rsidRPr="00833AFF" w:rsidRDefault="00381C97" w:rsidP="006351C6">
      <w:pPr>
        <w:jc w:val="center"/>
        <w:rPr>
          <w:b/>
          <w:sz w:val="28"/>
          <w:szCs w:val="28"/>
        </w:rPr>
      </w:pPr>
      <w:r w:rsidRPr="00833AFF">
        <w:rPr>
          <w:b/>
          <w:sz w:val="28"/>
          <w:szCs w:val="28"/>
        </w:rPr>
        <w:t>UA</w:t>
      </w:r>
      <w:r w:rsidR="00FE0122" w:rsidRPr="00833AFF">
        <w:rPr>
          <w:b/>
          <w:sz w:val="28"/>
          <w:szCs w:val="28"/>
        </w:rPr>
        <w:t xml:space="preserve">B </w:t>
      </w:r>
      <w:r w:rsidR="005F7A2E" w:rsidRPr="00833AFF">
        <w:rPr>
          <w:b/>
          <w:sz w:val="28"/>
          <w:szCs w:val="28"/>
        </w:rPr>
        <w:t>KRETINGOS ŠILUMOS TINKLŲ 2015 METŲ</w:t>
      </w:r>
    </w:p>
    <w:p w:rsidR="00381C97" w:rsidRPr="00833AFF" w:rsidRDefault="005B0D7E" w:rsidP="006351C6">
      <w:pPr>
        <w:jc w:val="center"/>
        <w:rPr>
          <w:b/>
          <w:sz w:val="28"/>
          <w:szCs w:val="28"/>
        </w:rPr>
      </w:pPr>
      <w:r w:rsidRPr="00833AFF">
        <w:rPr>
          <w:b/>
          <w:sz w:val="28"/>
          <w:szCs w:val="28"/>
        </w:rPr>
        <w:t>VADOVO ATASKAITA</w:t>
      </w:r>
    </w:p>
    <w:p w:rsidR="00B02A28" w:rsidRPr="002726AC" w:rsidRDefault="00AE36BB" w:rsidP="00381C97">
      <w:pPr>
        <w:rPr>
          <w:noProof/>
        </w:rPr>
      </w:pPr>
      <w:r w:rsidRPr="002726AC">
        <w:rPr>
          <w:noProof/>
        </w:rPr>
        <w:t xml:space="preserve"> </w:t>
      </w:r>
    </w:p>
    <w:p w:rsidR="00AE36BB" w:rsidRPr="002726AC" w:rsidRDefault="006351C6" w:rsidP="000D30D0">
      <w:pPr>
        <w:jc w:val="center"/>
        <w:rPr>
          <w:b/>
          <w:noProof/>
        </w:rPr>
      </w:pPr>
      <w:r w:rsidRPr="002726AC">
        <w:rPr>
          <w:b/>
          <w:noProof/>
        </w:rPr>
        <w:t xml:space="preserve">Bendroji </w:t>
      </w:r>
      <w:r w:rsidR="00AE36BB" w:rsidRPr="002726AC">
        <w:rPr>
          <w:b/>
          <w:noProof/>
        </w:rPr>
        <w:t>dalis</w:t>
      </w:r>
    </w:p>
    <w:p w:rsidR="00AE36BB" w:rsidRPr="002726AC" w:rsidRDefault="00AE36BB" w:rsidP="00AE36BB">
      <w:pPr>
        <w:jc w:val="both"/>
        <w:rPr>
          <w:b/>
          <w:noProof/>
        </w:rPr>
      </w:pPr>
    </w:p>
    <w:p w:rsidR="00AE36BB" w:rsidRPr="002726AC" w:rsidRDefault="00AE36BB" w:rsidP="006351C6">
      <w:pPr>
        <w:ind w:firstLine="1134"/>
        <w:jc w:val="both"/>
        <w:rPr>
          <w:noProof/>
        </w:rPr>
      </w:pPr>
      <w:r w:rsidRPr="002726AC">
        <w:rPr>
          <w:noProof/>
        </w:rPr>
        <w:t>Įmonės pavadinimas: uždaroji akcinė bendrovė Kretingos šilumos tinklai.</w:t>
      </w:r>
    </w:p>
    <w:p w:rsidR="00AE36BB" w:rsidRPr="002726AC" w:rsidRDefault="00AE36BB" w:rsidP="006351C6">
      <w:pPr>
        <w:ind w:firstLine="1134"/>
        <w:jc w:val="both"/>
      </w:pPr>
      <w:r w:rsidRPr="002726AC">
        <w:t>Buveinė: Žalioji g</w:t>
      </w:r>
      <w:r w:rsidR="006351C6" w:rsidRPr="002726AC">
        <w:t>.</w:t>
      </w:r>
      <w:r w:rsidRPr="002726AC">
        <w:t xml:space="preserve"> 3, 97145, Kretinga.</w:t>
      </w:r>
    </w:p>
    <w:p w:rsidR="00AE36BB" w:rsidRPr="002726AC" w:rsidRDefault="00AE36BB" w:rsidP="006351C6">
      <w:pPr>
        <w:ind w:firstLine="1134"/>
        <w:jc w:val="both"/>
      </w:pPr>
      <w:r w:rsidRPr="002726AC">
        <w:t>Steigėjas: Kretingos rajono savivaldybės taryba.</w:t>
      </w:r>
    </w:p>
    <w:p w:rsidR="00AE36BB" w:rsidRPr="002726AC" w:rsidRDefault="006351C6" w:rsidP="006351C6">
      <w:pPr>
        <w:ind w:firstLine="1134"/>
        <w:jc w:val="both"/>
      </w:pPr>
      <w:r w:rsidRPr="002726AC">
        <w:t xml:space="preserve">Įmonės įstatinis kapitalas: </w:t>
      </w:r>
      <w:r w:rsidR="00FD2FC9" w:rsidRPr="002726AC">
        <w:t>2 191 594 eurų</w:t>
      </w:r>
      <w:r w:rsidR="00AE36BB" w:rsidRPr="002726AC">
        <w:t xml:space="preserve">. Jis padalintas į 573153 paprastąsias vardines </w:t>
      </w:r>
      <w:r w:rsidR="007A44E2" w:rsidRPr="002726AC">
        <w:t>akcijas, kurių nominali vertė 2,9 euro ir 182 106 privilegijuotųjų 2.9 euro</w:t>
      </w:r>
      <w:r w:rsidR="00AE36BB" w:rsidRPr="002726AC">
        <w:t xml:space="preserve"> nominalios vertės akcijų.</w:t>
      </w:r>
      <w:r w:rsidRPr="002726AC">
        <w:t xml:space="preserve"> </w:t>
      </w:r>
      <w:r w:rsidR="00AE36BB" w:rsidRPr="002726AC">
        <w:t>Kretingos rajono savivaldybei priklauso 573</w:t>
      </w:r>
      <w:r w:rsidR="00D00CC0" w:rsidRPr="002726AC">
        <w:t xml:space="preserve"> </w:t>
      </w:r>
      <w:r w:rsidR="00AE36BB" w:rsidRPr="002726AC">
        <w:t>153 akcijos, AB „Klaipėdos energijai“ – 182 106 privilegijuot</w:t>
      </w:r>
      <w:r w:rsidR="00F759E7" w:rsidRPr="002726AC">
        <w:t>os</w:t>
      </w:r>
      <w:r w:rsidR="00AE36BB" w:rsidRPr="002726AC">
        <w:t xml:space="preserve"> a</w:t>
      </w:r>
      <w:r w:rsidR="00CE0D8B" w:rsidRPr="002726AC">
        <w:t>kcij</w:t>
      </w:r>
      <w:r w:rsidR="00F759E7" w:rsidRPr="002726AC">
        <w:t>os</w:t>
      </w:r>
      <w:r w:rsidR="00CE0D8B" w:rsidRPr="002726AC">
        <w:t xml:space="preserve">, fiziniams asmenims – 463 </w:t>
      </w:r>
      <w:r w:rsidR="00AE36BB" w:rsidRPr="002726AC">
        <w:t>akcijos.</w:t>
      </w:r>
      <w:r w:rsidR="00AE36BB" w:rsidRPr="002726AC">
        <w:rPr>
          <w:noProof/>
        </w:rPr>
        <w:t xml:space="preserve"> Bendrovės privilegijuotoms vardinėms akcijoms nustatytas fiksuotas nekaupiamasis 7,5 procentų akcijos nominalios vertės dydžio dividendas.</w:t>
      </w:r>
    </w:p>
    <w:p w:rsidR="00AE36BB" w:rsidRPr="002726AC" w:rsidRDefault="00AE36BB" w:rsidP="006351C6">
      <w:pPr>
        <w:ind w:firstLine="1134"/>
        <w:jc w:val="both"/>
        <w:rPr>
          <w:noProof/>
        </w:rPr>
      </w:pPr>
      <w:r w:rsidRPr="002726AC">
        <w:rPr>
          <w:noProof/>
        </w:rPr>
        <w:t>Pagrindinė veikla: Kretingos rajono šilumos vartotojų aprūpinimas centralizuotai tiekiama šilumine energija.</w:t>
      </w:r>
    </w:p>
    <w:p w:rsidR="00AE36BB" w:rsidRPr="002726AC" w:rsidRDefault="00274743" w:rsidP="006351C6">
      <w:pPr>
        <w:ind w:firstLine="1134"/>
        <w:jc w:val="both"/>
        <w:rPr>
          <w:noProof/>
        </w:rPr>
      </w:pPr>
      <w:r w:rsidRPr="002726AC">
        <w:rPr>
          <w:noProof/>
        </w:rPr>
        <w:t>Darbuotojų skaičius: 201</w:t>
      </w:r>
      <w:r w:rsidR="00245380" w:rsidRPr="002726AC">
        <w:rPr>
          <w:noProof/>
        </w:rPr>
        <w:t>5</w:t>
      </w:r>
      <w:r w:rsidRPr="002726AC">
        <w:rPr>
          <w:noProof/>
        </w:rPr>
        <w:t xml:space="preserve"> </w:t>
      </w:r>
      <w:r w:rsidR="00AE36BB" w:rsidRPr="002726AC">
        <w:rPr>
          <w:noProof/>
        </w:rPr>
        <w:t>m</w:t>
      </w:r>
      <w:r w:rsidR="00EE719B" w:rsidRPr="002726AC">
        <w:rPr>
          <w:noProof/>
        </w:rPr>
        <w:t>.vidutinis darbuotojų skaičius –</w:t>
      </w:r>
      <w:r w:rsidR="00CE0D8B" w:rsidRPr="002726AC">
        <w:rPr>
          <w:noProof/>
        </w:rPr>
        <w:t xml:space="preserve"> </w:t>
      </w:r>
      <w:r w:rsidR="00245380" w:rsidRPr="002726AC">
        <w:rPr>
          <w:noProof/>
        </w:rPr>
        <w:t>70</w:t>
      </w:r>
      <w:r w:rsidR="00AE36BB" w:rsidRPr="002726AC">
        <w:rPr>
          <w:noProof/>
        </w:rPr>
        <w:t>, iš jų 11– administracijos darbuotojų.</w:t>
      </w:r>
    </w:p>
    <w:p w:rsidR="00AE36BB" w:rsidRPr="002726AC" w:rsidRDefault="00AE36BB" w:rsidP="00441E06">
      <w:pPr>
        <w:ind w:firstLine="1134"/>
        <w:jc w:val="both"/>
        <w:rPr>
          <w:noProof/>
        </w:rPr>
      </w:pPr>
      <w:r w:rsidRPr="002726AC">
        <w:rPr>
          <w:noProof/>
        </w:rPr>
        <w:t>UAB Kretingos šilumos tinklai įsteigta 1998-09-30. 2013-04-29 įvykęs eilinis visuotinis akcininkų susirinkimas išrinko stebėtojų tarybą iš 7 narių. 2013-06-06 posėdyje išrinktas stebėtoj</w:t>
      </w:r>
      <w:r w:rsidR="006351C6" w:rsidRPr="002726AC">
        <w:rPr>
          <w:noProof/>
        </w:rPr>
        <w:t>ų</w:t>
      </w:r>
      <w:r w:rsidR="00EE719B" w:rsidRPr="002726AC">
        <w:rPr>
          <w:noProof/>
        </w:rPr>
        <w:t xml:space="preserve"> tarybos pirmininkas </w:t>
      </w:r>
      <w:r w:rsidRPr="002726AC">
        <w:rPr>
          <w:noProof/>
        </w:rPr>
        <w:t xml:space="preserve">Vytautas Lukauskas – Kretingos rajono savivaldybės tarybos narys, pirmininko pavaduotoja </w:t>
      </w:r>
      <w:r w:rsidR="00743A93" w:rsidRPr="002726AC">
        <w:rPr>
          <w:noProof/>
        </w:rPr>
        <w:t>–</w:t>
      </w:r>
      <w:r w:rsidR="006351C6" w:rsidRPr="002726AC">
        <w:rPr>
          <w:noProof/>
        </w:rPr>
        <w:t xml:space="preserve"> </w:t>
      </w:r>
      <w:r w:rsidRPr="002726AC">
        <w:rPr>
          <w:noProof/>
        </w:rPr>
        <w:t>Virginija Šoblinskienė – Kretingos rajono savivaldybės administracijos juridinio skyriaus vedėja, nariai: Steponas Baltuonis,</w:t>
      </w:r>
      <w:r w:rsidR="00AB1C0F" w:rsidRPr="002726AC">
        <w:rPr>
          <w:noProof/>
        </w:rPr>
        <w:t xml:space="preserve"> Dangiras Samalius (nuo </w:t>
      </w:r>
      <w:r w:rsidR="00C91ADB" w:rsidRPr="002726AC">
        <w:rPr>
          <w:noProof/>
        </w:rPr>
        <w:t>2015</w:t>
      </w:r>
      <w:r w:rsidR="00B5198A" w:rsidRPr="002726AC">
        <w:rPr>
          <w:noProof/>
        </w:rPr>
        <w:t>-</w:t>
      </w:r>
      <w:r w:rsidR="00C91ADB" w:rsidRPr="002726AC">
        <w:rPr>
          <w:noProof/>
        </w:rPr>
        <w:t>05</w:t>
      </w:r>
      <w:r w:rsidR="00B5198A" w:rsidRPr="002726AC">
        <w:rPr>
          <w:noProof/>
        </w:rPr>
        <w:t>-</w:t>
      </w:r>
      <w:r w:rsidR="00C91ADB" w:rsidRPr="002726AC">
        <w:rPr>
          <w:noProof/>
        </w:rPr>
        <w:t>14),</w:t>
      </w:r>
      <w:r w:rsidR="00743A93" w:rsidRPr="002726AC">
        <w:rPr>
          <w:noProof/>
        </w:rPr>
        <w:t xml:space="preserve"> Vaidas Kuprelis (</w:t>
      </w:r>
      <w:r w:rsidR="00AB1C0F" w:rsidRPr="002726AC">
        <w:rPr>
          <w:noProof/>
        </w:rPr>
        <w:t>nuo 2015</w:t>
      </w:r>
      <w:r w:rsidR="00B5198A" w:rsidRPr="002726AC">
        <w:rPr>
          <w:noProof/>
        </w:rPr>
        <w:t>-</w:t>
      </w:r>
      <w:r w:rsidR="00AB1C0F" w:rsidRPr="002726AC">
        <w:rPr>
          <w:noProof/>
        </w:rPr>
        <w:t>05</w:t>
      </w:r>
      <w:r w:rsidR="00B5198A" w:rsidRPr="002726AC">
        <w:rPr>
          <w:noProof/>
        </w:rPr>
        <w:t>-</w:t>
      </w:r>
      <w:r w:rsidR="00AB1C0F" w:rsidRPr="002726AC">
        <w:rPr>
          <w:noProof/>
        </w:rPr>
        <w:t>14)</w:t>
      </w:r>
      <w:r w:rsidRPr="002726AC">
        <w:rPr>
          <w:noProof/>
        </w:rPr>
        <w:t xml:space="preserve"> – Kretingos rajono savivaldybės tarybos nariai, Kęstutis Jonkus </w:t>
      </w:r>
      <w:r w:rsidR="006351C6" w:rsidRPr="002726AC">
        <w:rPr>
          <w:noProof/>
        </w:rPr>
        <w:t>-</w:t>
      </w:r>
      <w:r w:rsidRPr="002726AC">
        <w:rPr>
          <w:noProof/>
        </w:rPr>
        <w:t xml:space="preserve"> AB „Klaipėdos energija“ finansų direktorius, Antanas Katinas – </w:t>
      </w:r>
      <w:r w:rsidR="00CC6A89" w:rsidRPr="002726AC">
        <w:rPr>
          <w:noProof/>
        </w:rPr>
        <w:t xml:space="preserve">AB </w:t>
      </w:r>
      <w:r w:rsidRPr="002726AC">
        <w:rPr>
          <w:noProof/>
        </w:rPr>
        <w:t xml:space="preserve">„Klaipėdos energija“ </w:t>
      </w:r>
      <w:r w:rsidR="006351C6" w:rsidRPr="002726AC">
        <w:rPr>
          <w:noProof/>
        </w:rPr>
        <w:t>I</w:t>
      </w:r>
      <w:r w:rsidRPr="002726AC">
        <w:rPr>
          <w:noProof/>
        </w:rPr>
        <w:t>nvesticijų valdymo skyriaus vadovas. Stebėtojų taryba sur</w:t>
      </w:r>
      <w:r w:rsidR="00C91ADB" w:rsidRPr="002726AC">
        <w:rPr>
          <w:noProof/>
        </w:rPr>
        <w:t>engė 2 posėdžius ir apsvarstė 7 klausimus bei</w:t>
      </w:r>
      <w:r w:rsidRPr="002726AC">
        <w:rPr>
          <w:noProof/>
        </w:rPr>
        <w:t xml:space="preserve"> susipažino su valdyboje svarstytais klausimais ir p</w:t>
      </w:r>
      <w:r w:rsidR="00C91ADB" w:rsidRPr="002726AC">
        <w:rPr>
          <w:noProof/>
        </w:rPr>
        <w:t>riimta</w:t>
      </w:r>
      <w:r w:rsidR="00D00CC0" w:rsidRPr="002726AC">
        <w:rPr>
          <w:noProof/>
        </w:rPr>
        <w:t>is sprendimais.</w:t>
      </w:r>
      <w:r w:rsidR="00BC532B" w:rsidRPr="002726AC">
        <w:rPr>
          <w:noProof/>
        </w:rPr>
        <w:t xml:space="preserve"> 2015-05</w:t>
      </w:r>
      <w:r w:rsidR="00CC6A89" w:rsidRPr="002726AC">
        <w:rPr>
          <w:noProof/>
        </w:rPr>
        <w:t>-19</w:t>
      </w:r>
      <w:r w:rsidR="00BC532B" w:rsidRPr="002726AC">
        <w:rPr>
          <w:noProof/>
        </w:rPr>
        <w:t xml:space="preserve"> stebėtojų tarybos posėdyje </w:t>
      </w:r>
      <w:r w:rsidR="006351C6" w:rsidRPr="002726AC">
        <w:rPr>
          <w:noProof/>
        </w:rPr>
        <w:t xml:space="preserve">keturių metų laikotarpiui </w:t>
      </w:r>
      <w:r w:rsidR="00BC532B" w:rsidRPr="002726AC">
        <w:rPr>
          <w:noProof/>
        </w:rPr>
        <w:t>išrinkta nauja valdyba iš 7 narių: Povilas Černeckis</w:t>
      </w:r>
      <w:r w:rsidR="000B4217" w:rsidRPr="002726AC">
        <w:rPr>
          <w:noProof/>
        </w:rPr>
        <w:t xml:space="preserve"> -</w:t>
      </w:r>
      <w:r w:rsidR="00BC532B" w:rsidRPr="002726AC">
        <w:rPr>
          <w:noProof/>
        </w:rPr>
        <w:t xml:space="preserve"> savivaldybės</w:t>
      </w:r>
      <w:r w:rsidR="00FB5E8C" w:rsidRPr="002726AC">
        <w:rPr>
          <w:noProof/>
        </w:rPr>
        <w:t xml:space="preserve"> direktoriaus</w:t>
      </w:r>
      <w:r w:rsidR="000B4217" w:rsidRPr="002726AC">
        <w:rPr>
          <w:noProof/>
        </w:rPr>
        <w:t xml:space="preserve"> pavaduotojas, Stanislovas Juknevičius – Kretingos miesto seniūnas, Sonata Skominienė – savivaldybės </w:t>
      </w:r>
      <w:r w:rsidR="006351C6" w:rsidRPr="002726AC">
        <w:rPr>
          <w:noProof/>
        </w:rPr>
        <w:t>V</w:t>
      </w:r>
      <w:r w:rsidR="000B4217" w:rsidRPr="002726AC">
        <w:rPr>
          <w:noProof/>
        </w:rPr>
        <w:t>iešųjų pirkimų skyriaus vyr. specialistė, Alvydas Poškys</w:t>
      </w:r>
      <w:r w:rsidR="00D00CC0" w:rsidRPr="002726AC">
        <w:rPr>
          <w:noProof/>
        </w:rPr>
        <w:t xml:space="preserve"> </w:t>
      </w:r>
      <w:r w:rsidR="000B4217" w:rsidRPr="002726AC">
        <w:rPr>
          <w:noProof/>
        </w:rPr>
        <w:t xml:space="preserve">- savivaldybės </w:t>
      </w:r>
      <w:r w:rsidR="006351C6" w:rsidRPr="002726AC">
        <w:rPr>
          <w:noProof/>
        </w:rPr>
        <w:t>V</w:t>
      </w:r>
      <w:r w:rsidR="000B4217" w:rsidRPr="002726AC">
        <w:rPr>
          <w:noProof/>
        </w:rPr>
        <w:t>ietinio ūkio ir turto valdymo skyriaus vedėjo pavaduoto</w:t>
      </w:r>
      <w:r w:rsidR="00B86DB6" w:rsidRPr="002726AC">
        <w:rPr>
          <w:noProof/>
        </w:rPr>
        <w:t>jas, nuo 2015</w:t>
      </w:r>
      <w:r w:rsidR="00D00CC0" w:rsidRPr="002726AC">
        <w:rPr>
          <w:noProof/>
        </w:rPr>
        <w:t>-</w:t>
      </w:r>
      <w:r w:rsidR="00B86DB6" w:rsidRPr="002726AC">
        <w:rPr>
          <w:noProof/>
        </w:rPr>
        <w:t>09</w:t>
      </w:r>
      <w:r w:rsidR="00D00CC0" w:rsidRPr="002726AC">
        <w:rPr>
          <w:noProof/>
        </w:rPr>
        <w:t>-</w:t>
      </w:r>
      <w:r w:rsidR="00B86DB6" w:rsidRPr="002726AC">
        <w:rPr>
          <w:noProof/>
        </w:rPr>
        <w:t>15 Sigutė Jazbutienė</w:t>
      </w:r>
      <w:r w:rsidR="00441E06" w:rsidRPr="002726AC">
        <w:rPr>
          <w:noProof/>
        </w:rPr>
        <w:t xml:space="preserve"> -</w:t>
      </w:r>
      <w:r w:rsidR="00B86DB6" w:rsidRPr="002726AC">
        <w:rPr>
          <w:noProof/>
        </w:rPr>
        <w:t xml:space="preserve"> savivaldybės </w:t>
      </w:r>
      <w:r w:rsidR="00441E06" w:rsidRPr="002726AC">
        <w:rPr>
          <w:noProof/>
        </w:rPr>
        <w:t>V</w:t>
      </w:r>
      <w:r w:rsidR="00B86DB6" w:rsidRPr="002726AC">
        <w:rPr>
          <w:noProof/>
        </w:rPr>
        <w:t>ietinio ūkio ir turto valdymo skyriaus</w:t>
      </w:r>
      <w:r w:rsidR="00D00CC0" w:rsidRPr="002726AC">
        <w:rPr>
          <w:noProof/>
        </w:rPr>
        <w:t xml:space="preserve"> vedėja,</w:t>
      </w:r>
      <w:r w:rsidRPr="002726AC">
        <w:rPr>
          <w:noProof/>
        </w:rPr>
        <w:t xml:space="preserve"> Jonas Barzdys – UAB Kretingos šilumos tinklų direkto</w:t>
      </w:r>
      <w:r w:rsidR="000B4217" w:rsidRPr="002726AC">
        <w:rPr>
          <w:noProof/>
        </w:rPr>
        <w:t>rius</w:t>
      </w:r>
      <w:r w:rsidR="00A910CC" w:rsidRPr="002726AC">
        <w:rPr>
          <w:noProof/>
        </w:rPr>
        <w:t xml:space="preserve"> (2015</w:t>
      </w:r>
      <w:r w:rsidR="00D00CC0" w:rsidRPr="002726AC">
        <w:rPr>
          <w:noProof/>
        </w:rPr>
        <w:t>-</w:t>
      </w:r>
      <w:r w:rsidR="00A910CC" w:rsidRPr="002726AC">
        <w:rPr>
          <w:noProof/>
        </w:rPr>
        <w:t>05</w:t>
      </w:r>
      <w:r w:rsidR="00D00CC0" w:rsidRPr="002726AC">
        <w:rPr>
          <w:noProof/>
        </w:rPr>
        <w:t>-</w:t>
      </w:r>
      <w:r w:rsidR="00A910CC" w:rsidRPr="002726AC">
        <w:rPr>
          <w:noProof/>
        </w:rPr>
        <w:t>21 valdybos posėdyje išrinktas pirmininku),</w:t>
      </w:r>
      <w:r w:rsidR="00B86DB6" w:rsidRPr="002726AC">
        <w:rPr>
          <w:noProof/>
        </w:rPr>
        <w:t xml:space="preserve"> </w:t>
      </w:r>
      <w:r w:rsidRPr="002726AC">
        <w:rPr>
          <w:noProof/>
        </w:rPr>
        <w:t>Vilius Buinevičius – AB „Klaipėdos energija“ technikos direktorius, Loreta Gaidienė – AB „Klaipėdos energija</w:t>
      </w:r>
      <w:r w:rsidR="00592395" w:rsidRPr="002726AC">
        <w:rPr>
          <w:noProof/>
        </w:rPr>
        <w:t xml:space="preserve">“ </w:t>
      </w:r>
      <w:r w:rsidR="00441E06" w:rsidRPr="002726AC">
        <w:rPr>
          <w:noProof/>
        </w:rPr>
        <w:t>E</w:t>
      </w:r>
      <w:r w:rsidRPr="002726AC">
        <w:rPr>
          <w:noProof/>
        </w:rPr>
        <w:t>konomikos ir pe</w:t>
      </w:r>
      <w:r w:rsidR="00B86DB6" w:rsidRPr="002726AC">
        <w:rPr>
          <w:noProof/>
        </w:rPr>
        <w:t>rsonalo skyriaus viršininkė, nuo 2015</w:t>
      </w:r>
      <w:r w:rsidR="00D00CC0" w:rsidRPr="002726AC">
        <w:rPr>
          <w:noProof/>
        </w:rPr>
        <w:t>-</w:t>
      </w:r>
      <w:r w:rsidR="00B86DB6" w:rsidRPr="002726AC">
        <w:rPr>
          <w:noProof/>
        </w:rPr>
        <w:t>09</w:t>
      </w:r>
      <w:r w:rsidR="00D00CC0" w:rsidRPr="002726AC">
        <w:rPr>
          <w:noProof/>
        </w:rPr>
        <w:t>-</w:t>
      </w:r>
      <w:r w:rsidR="00B86DB6" w:rsidRPr="002726AC">
        <w:rPr>
          <w:noProof/>
        </w:rPr>
        <w:t>15 Arūnas Smaguris</w:t>
      </w:r>
      <w:r w:rsidR="00441E06" w:rsidRPr="002726AC">
        <w:rPr>
          <w:noProof/>
        </w:rPr>
        <w:t xml:space="preserve"> -</w:t>
      </w:r>
      <w:r w:rsidR="00B86DB6" w:rsidRPr="002726AC">
        <w:rPr>
          <w:noProof/>
        </w:rPr>
        <w:t xml:space="preserve"> AB „Klaipėdos energijos“ </w:t>
      </w:r>
      <w:r w:rsidR="00441E06" w:rsidRPr="002726AC">
        <w:rPr>
          <w:noProof/>
        </w:rPr>
        <w:t>Š</w:t>
      </w:r>
      <w:r w:rsidR="00B86DB6" w:rsidRPr="002726AC">
        <w:rPr>
          <w:noProof/>
        </w:rPr>
        <w:t>ilumos tiekimo tarnybos vadovas.</w:t>
      </w:r>
      <w:r w:rsidR="00A910CC" w:rsidRPr="002726AC">
        <w:rPr>
          <w:noProof/>
        </w:rPr>
        <w:t xml:space="preserve"> </w:t>
      </w:r>
      <w:r w:rsidRPr="002726AC">
        <w:rPr>
          <w:noProof/>
        </w:rPr>
        <w:t>Valdy</w:t>
      </w:r>
      <w:r w:rsidR="00A910CC" w:rsidRPr="002726AC">
        <w:rPr>
          <w:noProof/>
        </w:rPr>
        <w:t>ba nuo 2015</w:t>
      </w:r>
      <w:r w:rsidRPr="002726AC">
        <w:rPr>
          <w:noProof/>
        </w:rPr>
        <w:t>-0</w:t>
      </w:r>
      <w:r w:rsidR="00A910CC" w:rsidRPr="002726AC">
        <w:rPr>
          <w:noProof/>
        </w:rPr>
        <w:t>1-22 iki 2015</w:t>
      </w:r>
      <w:r w:rsidRPr="002726AC">
        <w:rPr>
          <w:noProof/>
        </w:rPr>
        <w:t>-12</w:t>
      </w:r>
      <w:r w:rsidR="00B0587D" w:rsidRPr="002726AC">
        <w:rPr>
          <w:noProof/>
        </w:rPr>
        <w:t>-22</w:t>
      </w:r>
      <w:r w:rsidRPr="002726AC">
        <w:rPr>
          <w:noProof/>
        </w:rPr>
        <w:t xml:space="preserve"> surengė </w:t>
      </w:r>
      <w:r w:rsidR="00A910CC" w:rsidRPr="002726AC">
        <w:rPr>
          <w:noProof/>
        </w:rPr>
        <w:t>20 posėdžių</w:t>
      </w:r>
      <w:r w:rsidRPr="002726AC">
        <w:rPr>
          <w:noProof/>
        </w:rPr>
        <w:t xml:space="preserve"> ir apsvarstė </w:t>
      </w:r>
      <w:r w:rsidR="00B0587D" w:rsidRPr="002726AC">
        <w:rPr>
          <w:noProof/>
        </w:rPr>
        <w:t>49</w:t>
      </w:r>
      <w:r w:rsidRPr="002726AC">
        <w:rPr>
          <w:noProof/>
        </w:rPr>
        <w:t xml:space="preserve"> klausim</w:t>
      </w:r>
      <w:r w:rsidR="00B0587D" w:rsidRPr="002726AC">
        <w:rPr>
          <w:noProof/>
        </w:rPr>
        <w:t>us</w:t>
      </w:r>
      <w:r w:rsidR="004D6F8C" w:rsidRPr="002726AC">
        <w:rPr>
          <w:noProof/>
        </w:rPr>
        <w:t>, iš kurių - 15</w:t>
      </w:r>
      <w:r w:rsidRPr="002726AC">
        <w:rPr>
          <w:noProof/>
        </w:rPr>
        <w:t xml:space="preserve"> elektroniniu balsavimu.</w:t>
      </w:r>
    </w:p>
    <w:p w:rsidR="00616A58" w:rsidRPr="002726AC" w:rsidRDefault="00616A58" w:rsidP="00AE36BB">
      <w:pPr>
        <w:jc w:val="both"/>
        <w:rPr>
          <w:noProof/>
        </w:rPr>
      </w:pPr>
    </w:p>
    <w:p w:rsidR="00AE36BB" w:rsidRPr="002726AC" w:rsidRDefault="00AE36BB" w:rsidP="000D30D0">
      <w:pPr>
        <w:jc w:val="center"/>
        <w:rPr>
          <w:b/>
          <w:noProof/>
        </w:rPr>
      </w:pPr>
      <w:r w:rsidRPr="002726AC">
        <w:rPr>
          <w:b/>
          <w:noProof/>
        </w:rPr>
        <w:t>Bendrovės būklės, veiklos ir plėtros apžvalga</w:t>
      </w:r>
    </w:p>
    <w:p w:rsidR="00441E06" w:rsidRPr="002726AC" w:rsidRDefault="00441E06" w:rsidP="000D30D0">
      <w:pPr>
        <w:jc w:val="center"/>
        <w:rPr>
          <w:b/>
          <w:noProof/>
        </w:rPr>
      </w:pPr>
    </w:p>
    <w:p w:rsidR="0077083C" w:rsidRPr="002726AC" w:rsidRDefault="0077083C" w:rsidP="00441E06">
      <w:pPr>
        <w:ind w:firstLine="1134"/>
        <w:jc w:val="both"/>
        <w:rPr>
          <w:noProof/>
        </w:rPr>
      </w:pPr>
      <w:r w:rsidRPr="002726AC">
        <w:rPr>
          <w:noProof/>
        </w:rPr>
        <w:t>Bendrovė prižiūri 28 katilines, iš kurių eksploatuojamos</w:t>
      </w:r>
      <w:r w:rsidR="00441E06" w:rsidRPr="002726AC">
        <w:rPr>
          <w:noProof/>
        </w:rPr>
        <w:t xml:space="preserve"> </w:t>
      </w:r>
      <w:r w:rsidRPr="002726AC">
        <w:rPr>
          <w:noProof/>
        </w:rPr>
        <w:t xml:space="preserve">27. Iš eksploatuojamų katilinių 6 yra didesnio galingumo, kitos </w:t>
      </w:r>
      <w:r w:rsidR="00441E06" w:rsidRPr="002726AC">
        <w:rPr>
          <w:noProof/>
        </w:rPr>
        <w:t xml:space="preserve">- </w:t>
      </w:r>
      <w:r w:rsidRPr="002726AC">
        <w:rPr>
          <w:noProof/>
        </w:rPr>
        <w:t xml:space="preserve">prie kaimo mokyklų ir kultūros įstaigų. 2015 m. šilumos energijos pagaminta 43,96 tūkat. MWh, tai 0,231 tūkst. MWh arba 0,52 % mažiau nei 2014 metais. Pagrindinėje </w:t>
      </w:r>
      <w:r w:rsidR="00B5198A" w:rsidRPr="002726AC">
        <w:rPr>
          <w:noProof/>
        </w:rPr>
        <w:t xml:space="preserve">miesto katilinėje (katilinė Nr. </w:t>
      </w:r>
      <w:r w:rsidRPr="002726AC">
        <w:rPr>
          <w:noProof/>
        </w:rPr>
        <w:t xml:space="preserve">2) pagaminama 75,9 %, savivaldybės perduotose katilinėse 12 % ir kitose katilinėse 12,1 % visos bendrovėje gaminamos šilumos energijos. Per 2015 metus realizuota 36,444 </w:t>
      </w:r>
      <w:r w:rsidRPr="002726AC">
        <w:rPr>
          <w:noProof/>
        </w:rPr>
        <w:lastRenderedPageBreak/>
        <w:t>tūkst. MWh šiluminės energijos, t</w:t>
      </w:r>
      <w:r w:rsidR="00441E06" w:rsidRPr="002726AC">
        <w:rPr>
          <w:noProof/>
        </w:rPr>
        <w:t xml:space="preserve">ai </w:t>
      </w:r>
      <w:r w:rsidRPr="002726AC">
        <w:rPr>
          <w:noProof/>
        </w:rPr>
        <w:t>y</w:t>
      </w:r>
      <w:r w:rsidR="00441E06" w:rsidRPr="002726AC">
        <w:rPr>
          <w:noProof/>
        </w:rPr>
        <w:t>ra,</w:t>
      </w:r>
      <w:r w:rsidRPr="002726AC">
        <w:rPr>
          <w:noProof/>
        </w:rPr>
        <w:t xml:space="preserve"> 0,444 tūkst. MWh arba 1,2 % mažiau nei 2014 m. (2014 metais 36,888 tūkst. MWh). Šilumos energijos realizuota: 68,5 % gyventojams, 24,9 % biudžetinėms įstaigoms ir 6,6 % verslo įmonėms.</w:t>
      </w:r>
    </w:p>
    <w:p w:rsidR="0077083C" w:rsidRPr="002726AC" w:rsidRDefault="0077083C" w:rsidP="00441E06">
      <w:pPr>
        <w:ind w:firstLine="1134"/>
        <w:jc w:val="both"/>
        <w:rPr>
          <w:noProof/>
        </w:rPr>
      </w:pPr>
      <w:r w:rsidRPr="002726AC">
        <w:rPr>
          <w:noProof/>
        </w:rPr>
        <w:t>Technologiniai šilumos trasų nuostoliai 2015 m. padidėjo 0,7 procentiniais punktais ir sudarė 16,7 % (2014 m. – 16,0 %). Analizuojant šių nuostolių svyravimus tarp šildymo ir nešildymo sezonų, būtina atkreipti dėmesį, kad nešildymo sezonu šilumos trasų nuostoliai sudarė 39,8 % (2014 m.- 39,0 %), šildymo sezonu – 13,7 % (2014 m. - 13,1 %). Kasmet nešildymo sezonu mažėja karšto vandens sunaudojimas, to pasekoje mažėja ir šiluminės energijos gamyba, o tinklų nuostoliai didėja. Pagrindinių katilinių šilumos energijos gamyba per 2015 metus sumažėjo 0,97 %</w:t>
      </w:r>
      <w:r w:rsidR="00441E06" w:rsidRPr="002726AC">
        <w:rPr>
          <w:noProof/>
        </w:rPr>
        <w:t>,</w:t>
      </w:r>
      <w:r w:rsidRPr="002726AC">
        <w:rPr>
          <w:noProof/>
        </w:rPr>
        <w:t xml:space="preserve"> o savivaldybės perduotose katilinėse, kurios eksploatuojamos nuo 2002 metų, - 2,89 %. Tiek pagamintos, tiek realizuotos šilumos energijos sumažėjimą lėmė aukštesnė 2015 metų šildymo sezono vidutinė lauko oro temperatūra. 2015 m. ji buvo  + 3,22 ºC,  t</w:t>
      </w:r>
      <w:r w:rsidR="00441E06" w:rsidRPr="002726AC">
        <w:rPr>
          <w:noProof/>
        </w:rPr>
        <w:t xml:space="preserve">ai </w:t>
      </w:r>
      <w:r w:rsidRPr="002726AC">
        <w:rPr>
          <w:noProof/>
        </w:rPr>
        <w:t>y</w:t>
      </w:r>
      <w:r w:rsidR="00441E06" w:rsidRPr="002726AC">
        <w:rPr>
          <w:noProof/>
        </w:rPr>
        <w:t>ra,</w:t>
      </w:r>
      <w:r w:rsidRPr="002726AC">
        <w:rPr>
          <w:noProof/>
        </w:rPr>
        <w:t xml:space="preserve"> 1,64 ºC aukštesnė, nei praėjusiu šildymo sezonu.</w:t>
      </w:r>
    </w:p>
    <w:p w:rsidR="000750FE" w:rsidRPr="002726AC" w:rsidRDefault="000750FE" w:rsidP="00933738">
      <w:pPr>
        <w:jc w:val="both"/>
        <w:rPr>
          <w:noProof/>
        </w:rPr>
      </w:pPr>
    </w:p>
    <w:p w:rsidR="0077083C" w:rsidRPr="002726AC" w:rsidRDefault="00FF3788" w:rsidP="0077083C">
      <w:pPr>
        <w:ind w:firstLine="567"/>
        <w:jc w:val="both"/>
        <w:rPr>
          <w:noProof/>
        </w:rPr>
      </w:pPr>
      <w:r w:rsidRPr="002726AC">
        <w:rPr>
          <w:noProof/>
          <w:lang w:eastAsia="lt-LT"/>
        </w:rPr>
        <w:drawing>
          <wp:inline distT="0" distB="0" distL="0" distR="0" wp14:anchorId="044E9384" wp14:editId="557DEDE4">
            <wp:extent cx="5983242" cy="2373212"/>
            <wp:effectExtent l="0" t="0" r="17780" b="27305"/>
            <wp:docPr id="1" name="Paveikslėlis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7083C" w:rsidRPr="002726AC" w:rsidRDefault="0077083C" w:rsidP="0077083C">
      <w:pPr>
        <w:ind w:firstLine="567"/>
        <w:jc w:val="center"/>
        <w:rPr>
          <w:noProof/>
        </w:rPr>
      </w:pPr>
      <w:r w:rsidRPr="002726AC">
        <w:rPr>
          <w:noProof/>
        </w:rPr>
        <w:t>1 pav. Gamybos, realizacijos ir lauko oro temperatūros palyginimas</w:t>
      </w:r>
    </w:p>
    <w:p w:rsidR="0077083C" w:rsidRPr="002726AC" w:rsidRDefault="0077083C" w:rsidP="0077083C">
      <w:pPr>
        <w:ind w:firstLine="567"/>
        <w:jc w:val="center"/>
        <w:rPr>
          <w:noProof/>
        </w:rPr>
      </w:pPr>
    </w:p>
    <w:p w:rsidR="0077083C" w:rsidRPr="002726AC" w:rsidRDefault="0077083C" w:rsidP="009707A0">
      <w:pPr>
        <w:ind w:firstLine="1134"/>
        <w:jc w:val="both"/>
        <w:rPr>
          <w:noProof/>
        </w:rPr>
      </w:pPr>
      <w:r w:rsidRPr="002726AC">
        <w:rPr>
          <w:noProof/>
        </w:rPr>
        <w:t>Patalpų šildymui sunaudotas šilumos kiekis sudarė 80,15 % (2014 m. – 80,47 %) visos realizacijos. Vidutinė 2015 m. šildymo sezono trukmė – 6,74 mėn. ( 2014 m. – 5,89 mėn.). Vidutiniškai per 2015 m. šildymo sezoną 1 m</w:t>
      </w:r>
      <w:r w:rsidRPr="002726AC">
        <w:rPr>
          <w:noProof/>
          <w:vertAlign w:val="superscript"/>
        </w:rPr>
        <w:t>2</w:t>
      </w:r>
      <w:r w:rsidRPr="002726AC">
        <w:rPr>
          <w:noProof/>
        </w:rPr>
        <w:t xml:space="preserve"> šildymui sunaudota 95,534 kWh/m</w:t>
      </w:r>
      <w:r w:rsidRPr="002726AC">
        <w:rPr>
          <w:noProof/>
          <w:vertAlign w:val="superscript"/>
        </w:rPr>
        <w:t>2</w:t>
      </w:r>
      <w:r w:rsidRPr="002726AC">
        <w:rPr>
          <w:noProof/>
        </w:rPr>
        <w:t xml:space="preserve"> arba 2,39 % mažiau lyginant su 2014 m. (2014 – 97,871 kWh/m</w:t>
      </w:r>
      <w:r w:rsidRPr="002726AC">
        <w:rPr>
          <w:noProof/>
          <w:vertAlign w:val="superscript"/>
        </w:rPr>
        <w:t>2</w:t>
      </w:r>
      <w:r w:rsidRPr="002726AC">
        <w:rPr>
          <w:noProof/>
        </w:rPr>
        <w:t>). Gyventojai 1 m² ploto šildymui per mėnesį sunaudojo 13,69 kWh/ m², t</w:t>
      </w:r>
      <w:r w:rsidR="00933738" w:rsidRPr="002726AC">
        <w:rPr>
          <w:noProof/>
        </w:rPr>
        <w:t xml:space="preserve">ai </w:t>
      </w:r>
      <w:r w:rsidRPr="002726AC">
        <w:rPr>
          <w:noProof/>
        </w:rPr>
        <w:t>y</w:t>
      </w:r>
      <w:r w:rsidR="009707A0" w:rsidRPr="002726AC">
        <w:rPr>
          <w:noProof/>
        </w:rPr>
        <w:t>ra,</w:t>
      </w:r>
      <w:r w:rsidRPr="002726AC">
        <w:rPr>
          <w:noProof/>
        </w:rPr>
        <w:t xml:space="preserve"> 15,5 % mažiau lyginant su 2014 m. Vidutiniškai per mėnesį už 1 m² šildymą 2015 m. gyventojai mokėjo 0,88 Eur/m², t.y. 19,3 proc. mažiau nei 2014 m. (2014 m. – 1,09 Eur/m²). Šilumos suvartojimo palyginimas pateiktas 2 pav</w:t>
      </w:r>
      <w:r w:rsidR="009707A0" w:rsidRPr="002726AC">
        <w:rPr>
          <w:noProof/>
        </w:rPr>
        <w:t>eiksle</w:t>
      </w:r>
      <w:r w:rsidRPr="002726AC">
        <w:rPr>
          <w:noProof/>
        </w:rPr>
        <w:t>.</w:t>
      </w:r>
    </w:p>
    <w:p w:rsidR="0077083C" w:rsidRPr="002726AC" w:rsidRDefault="00FF3788" w:rsidP="00743A93">
      <w:pPr>
        <w:ind w:firstLine="567"/>
        <w:jc w:val="center"/>
        <w:rPr>
          <w:noProof/>
        </w:rPr>
      </w:pPr>
      <w:r w:rsidRPr="002726AC">
        <w:rPr>
          <w:noProof/>
          <w:lang w:eastAsia="lt-LT"/>
        </w:rPr>
        <w:lastRenderedPageBreak/>
        <w:drawing>
          <wp:inline distT="0" distB="0" distL="0" distR="0" wp14:anchorId="5B1C33D8" wp14:editId="63FDD483">
            <wp:extent cx="4624855" cy="2278072"/>
            <wp:effectExtent l="0" t="0" r="23495" b="27305"/>
            <wp:docPr id="2" name="Paveikslėlis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7083C" w:rsidRPr="002726AC" w:rsidRDefault="0077083C" w:rsidP="00743A93">
      <w:pPr>
        <w:ind w:firstLine="567"/>
        <w:jc w:val="center"/>
        <w:rPr>
          <w:noProof/>
          <w:lang w:eastAsia="lt-LT"/>
        </w:rPr>
      </w:pPr>
      <w:r w:rsidRPr="002726AC">
        <w:rPr>
          <w:noProof/>
          <w:lang w:eastAsia="lt-LT"/>
        </w:rPr>
        <w:t>2. pav</w:t>
      </w:r>
      <w:r w:rsidR="009707A0" w:rsidRPr="002726AC">
        <w:rPr>
          <w:noProof/>
          <w:lang w:eastAsia="lt-LT"/>
        </w:rPr>
        <w:t>.</w:t>
      </w:r>
      <w:r w:rsidRPr="002726AC">
        <w:rPr>
          <w:noProof/>
          <w:lang w:eastAsia="lt-LT"/>
        </w:rPr>
        <w:t xml:space="preserve"> Vidutinis šilumos suvartojimas per mėnesį (kWh/m</w:t>
      </w:r>
      <w:r w:rsidRPr="002726AC">
        <w:rPr>
          <w:noProof/>
          <w:vertAlign w:val="superscript"/>
          <w:lang w:eastAsia="lt-LT"/>
        </w:rPr>
        <w:t>2</w:t>
      </w:r>
      <w:r w:rsidRPr="002726AC">
        <w:rPr>
          <w:noProof/>
          <w:lang w:eastAsia="lt-LT"/>
        </w:rPr>
        <w:t>)</w:t>
      </w:r>
    </w:p>
    <w:p w:rsidR="0077083C" w:rsidRPr="002726AC" w:rsidRDefault="0077083C" w:rsidP="00743A93">
      <w:pPr>
        <w:ind w:firstLine="567"/>
        <w:jc w:val="center"/>
        <w:rPr>
          <w:noProof/>
        </w:rPr>
      </w:pPr>
    </w:p>
    <w:p w:rsidR="0077083C" w:rsidRPr="002726AC" w:rsidRDefault="00CA1A53" w:rsidP="009707A0">
      <w:pPr>
        <w:ind w:firstLine="1134"/>
        <w:jc w:val="both"/>
        <w:rPr>
          <w:noProof/>
        </w:rPr>
      </w:pPr>
      <w:r w:rsidRPr="002726AC">
        <w:rPr>
          <w:noProof/>
        </w:rPr>
        <w:t>Kretingoje renovavus keturis daugiabučius namus ir pertvarkius šildymo sistemas</w:t>
      </w:r>
      <w:r w:rsidR="009707A0" w:rsidRPr="002726AC">
        <w:rPr>
          <w:noProof/>
        </w:rPr>
        <w:t>,</w:t>
      </w:r>
      <w:r w:rsidRPr="002726AC">
        <w:rPr>
          <w:noProof/>
        </w:rPr>
        <w:t xml:space="preserve"> pirmieji teigiami rezultatai pasirodė jau po dviejų mėnesių, kai suvartotas šilumos kiekis sumažėjo 40 procentų</w:t>
      </w:r>
      <w:r w:rsidR="005B2BAF" w:rsidRPr="002726AC">
        <w:rPr>
          <w:noProof/>
        </w:rPr>
        <w:t>.</w:t>
      </w:r>
      <w:r w:rsidR="009707A0" w:rsidRPr="002726AC">
        <w:rPr>
          <w:noProof/>
        </w:rPr>
        <w:t xml:space="preserve"> </w:t>
      </w:r>
      <w:r w:rsidR="005B2BAF" w:rsidRPr="002726AC">
        <w:rPr>
          <w:noProof/>
        </w:rPr>
        <w:t>Galime teigti, kad pasirinktas renovavimo būdas yra geras ir gali būti pavyzdys kitoms namų bendrijoms.</w:t>
      </w:r>
    </w:p>
    <w:p w:rsidR="0077083C" w:rsidRPr="002726AC" w:rsidRDefault="0077083C" w:rsidP="009707A0">
      <w:pPr>
        <w:ind w:firstLine="1134"/>
        <w:jc w:val="both"/>
        <w:rPr>
          <w:noProof/>
        </w:rPr>
      </w:pPr>
      <w:r w:rsidRPr="002726AC">
        <w:rPr>
          <w:noProof/>
        </w:rPr>
        <w:t>Vidutinė 2015 m. šilumos kaina (be PVM) buvo 5,89 ct/kWh., tai 0,22 ct/kWh mažesnė, lyginant su 201</w:t>
      </w:r>
      <w:r w:rsidR="00245380" w:rsidRPr="002726AC">
        <w:rPr>
          <w:noProof/>
        </w:rPr>
        <w:t>4</w:t>
      </w:r>
      <w:r w:rsidRPr="002726AC">
        <w:rPr>
          <w:noProof/>
        </w:rPr>
        <w:t xml:space="preserve"> m. vidutine šilumos kaina (6,11 ct/kWh). 2015 m. šilumos kaina, įvertinus technologinio kuro kainų pokytį, buvo perskaičiuojama kas mėnesį (3 pav.). </w:t>
      </w:r>
    </w:p>
    <w:p w:rsidR="0077083C" w:rsidRPr="002726AC" w:rsidRDefault="0077083C" w:rsidP="0077083C">
      <w:pPr>
        <w:jc w:val="both"/>
        <w:rPr>
          <w:noProof/>
        </w:rPr>
      </w:pPr>
    </w:p>
    <w:p w:rsidR="0077083C" w:rsidRPr="002726AC" w:rsidRDefault="00FF3788" w:rsidP="0077083C">
      <w:pPr>
        <w:jc w:val="both"/>
        <w:rPr>
          <w:noProof/>
        </w:rPr>
      </w:pPr>
      <w:r w:rsidRPr="002726AC">
        <w:rPr>
          <w:noProof/>
          <w:lang w:eastAsia="lt-LT"/>
        </w:rPr>
        <w:drawing>
          <wp:inline distT="0" distB="0" distL="0" distR="0" wp14:anchorId="1BCE86C6" wp14:editId="5D1523F5">
            <wp:extent cx="6448425" cy="305752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48425" cy="3057525"/>
                    </a:xfrm>
                    <a:prstGeom prst="rect">
                      <a:avLst/>
                    </a:prstGeom>
                    <a:noFill/>
                    <a:ln>
                      <a:noFill/>
                    </a:ln>
                  </pic:spPr>
                </pic:pic>
              </a:graphicData>
            </a:graphic>
          </wp:inline>
        </w:drawing>
      </w:r>
    </w:p>
    <w:p w:rsidR="0077083C" w:rsidRPr="002726AC" w:rsidRDefault="0077083C" w:rsidP="0077083C">
      <w:pPr>
        <w:jc w:val="both"/>
        <w:rPr>
          <w:noProof/>
        </w:rPr>
      </w:pPr>
      <w:r w:rsidRPr="002726AC">
        <w:rPr>
          <w:noProof/>
        </w:rPr>
        <w:t xml:space="preserve">Pastaba: 2014 m. kovo mėn. ir 2015 m. kovo mėn. taikytos nustatytos naujos šilumos kainų dedamosios. </w:t>
      </w:r>
    </w:p>
    <w:p w:rsidR="0077083C" w:rsidRPr="002726AC" w:rsidRDefault="0077083C" w:rsidP="0077083C">
      <w:pPr>
        <w:jc w:val="center"/>
        <w:rPr>
          <w:noProof/>
        </w:rPr>
      </w:pPr>
      <w:r w:rsidRPr="002726AC">
        <w:rPr>
          <w:noProof/>
        </w:rPr>
        <w:t>3 pav. Technologinio kuro kainos ir šilumos kainų dinamika 2014-2015 m.</w:t>
      </w:r>
    </w:p>
    <w:p w:rsidR="0077083C" w:rsidRPr="002726AC" w:rsidRDefault="0077083C" w:rsidP="0077083C">
      <w:pPr>
        <w:jc w:val="both"/>
        <w:rPr>
          <w:noProof/>
        </w:rPr>
      </w:pPr>
    </w:p>
    <w:p w:rsidR="0077083C" w:rsidRPr="002726AC" w:rsidRDefault="0077083C" w:rsidP="009707A0">
      <w:pPr>
        <w:ind w:firstLine="1134"/>
        <w:jc w:val="both"/>
        <w:rPr>
          <w:noProof/>
          <w:color w:val="000000"/>
        </w:rPr>
      </w:pPr>
      <w:r w:rsidRPr="002726AC">
        <w:rPr>
          <w:noProof/>
        </w:rPr>
        <w:t xml:space="preserve">2015 metais šilumos tiekimo veiklos savikaina </w:t>
      </w:r>
      <w:r w:rsidRPr="002726AC">
        <w:rPr>
          <w:noProof/>
          <w:color w:val="000000"/>
        </w:rPr>
        <w:t xml:space="preserve">buvo 6,16 ct/kWh. Savikaina, lyginant su 2014 metais (5,84 ct/kWh), padidėjo 0,32 ct/kWh arba 5,48 % (4 pav.). </w:t>
      </w:r>
    </w:p>
    <w:p w:rsidR="0077083C" w:rsidRPr="002726AC" w:rsidRDefault="0077083C" w:rsidP="0077083C">
      <w:pPr>
        <w:ind w:firstLine="567"/>
        <w:jc w:val="both"/>
        <w:rPr>
          <w:noProof/>
          <w:color w:val="FF0000"/>
        </w:rPr>
      </w:pPr>
    </w:p>
    <w:p w:rsidR="0077083C" w:rsidRPr="002726AC" w:rsidRDefault="00FF3788" w:rsidP="0077083C">
      <w:pPr>
        <w:jc w:val="both"/>
        <w:rPr>
          <w:noProof/>
        </w:rPr>
      </w:pPr>
      <w:r w:rsidRPr="002726AC">
        <w:rPr>
          <w:noProof/>
          <w:lang w:eastAsia="lt-LT"/>
        </w:rPr>
        <w:lastRenderedPageBreak/>
        <w:drawing>
          <wp:inline distT="0" distB="0" distL="0" distR="0" wp14:anchorId="0F115988" wp14:editId="27A45C9F">
            <wp:extent cx="6366510" cy="2673985"/>
            <wp:effectExtent l="0" t="0" r="15240" b="12065"/>
            <wp:docPr id="4" name="Paveikslėli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7083C" w:rsidRPr="002726AC" w:rsidRDefault="0077083C" w:rsidP="009707A0">
      <w:pPr>
        <w:ind w:firstLine="567"/>
        <w:jc w:val="center"/>
        <w:rPr>
          <w:noProof/>
          <w:lang w:eastAsia="lt-LT"/>
        </w:rPr>
      </w:pPr>
      <w:r w:rsidRPr="002726AC">
        <w:rPr>
          <w:noProof/>
          <w:lang w:eastAsia="lt-LT"/>
        </w:rPr>
        <w:t>4 pav. Šilumos tiekimo veiklos savikaina</w:t>
      </w:r>
    </w:p>
    <w:p w:rsidR="0077083C" w:rsidRPr="002726AC" w:rsidRDefault="0077083C" w:rsidP="009707A0">
      <w:pPr>
        <w:ind w:firstLine="567"/>
        <w:jc w:val="center"/>
        <w:rPr>
          <w:noProof/>
          <w:lang w:eastAsia="lt-LT"/>
        </w:rPr>
      </w:pPr>
    </w:p>
    <w:p w:rsidR="0077083C" w:rsidRPr="002726AC" w:rsidRDefault="0077083C" w:rsidP="009707A0">
      <w:pPr>
        <w:ind w:firstLine="1134"/>
        <w:jc w:val="both"/>
        <w:rPr>
          <w:noProof/>
        </w:rPr>
      </w:pPr>
      <w:r w:rsidRPr="002726AC">
        <w:rPr>
          <w:noProof/>
        </w:rPr>
        <w:t>Savivaldybės perduotų katilinių 2015 m. vidutinė savikaina, įvertinus ir veiklos sąnaudas, sudarė 8,16 ct/kWh (2014 m. – 8,62 ct/kWh), pagrindinių katilinių – 5,85 ct/kWh (2014 m. – 5,44 ct/kWh). Pagrindinė priežastis</w:t>
      </w:r>
      <w:r w:rsidR="009707A0" w:rsidRPr="002726AC">
        <w:rPr>
          <w:noProof/>
        </w:rPr>
        <w:t>,</w:t>
      </w:r>
      <w:r w:rsidRPr="002726AC">
        <w:rPr>
          <w:noProof/>
        </w:rPr>
        <w:t xml:space="preserve"> lėmusi bendrą šilumos tiekimo veiklos savikainos padidėjimą, buvo pastoviųjų sąnaudų (remonto, nusidėvėjimo, darbo užmokesčio) didėjimas.</w:t>
      </w:r>
    </w:p>
    <w:p w:rsidR="0077083C" w:rsidRPr="002726AC" w:rsidRDefault="0077083C" w:rsidP="009707A0">
      <w:pPr>
        <w:ind w:firstLine="1134"/>
        <w:jc w:val="both"/>
        <w:rPr>
          <w:noProof/>
        </w:rPr>
      </w:pPr>
      <w:r w:rsidRPr="002726AC">
        <w:rPr>
          <w:noProof/>
        </w:rPr>
        <w:t>Vidutinė technologinio kuro kaina 2015 m. – 217,7 Eur/t</w:t>
      </w:r>
      <w:r w:rsidRPr="002726AC">
        <w:rPr>
          <w:noProof/>
          <w:vertAlign w:val="subscript"/>
        </w:rPr>
        <w:t>ne</w:t>
      </w:r>
      <w:r w:rsidRPr="002726AC">
        <w:rPr>
          <w:noProof/>
        </w:rPr>
        <w:t>, 2014 m. – 216,44 Eur/t</w:t>
      </w:r>
      <w:r w:rsidRPr="002726AC">
        <w:rPr>
          <w:noProof/>
          <w:vertAlign w:val="subscript"/>
        </w:rPr>
        <w:t>ne</w:t>
      </w:r>
      <w:r w:rsidRPr="002726AC">
        <w:rPr>
          <w:noProof/>
        </w:rPr>
        <w:t xml:space="preserve"> (5 pav.). </w:t>
      </w:r>
    </w:p>
    <w:p w:rsidR="0077083C" w:rsidRPr="002726AC" w:rsidRDefault="0077083C" w:rsidP="0077083C">
      <w:pPr>
        <w:ind w:firstLine="567"/>
        <w:jc w:val="both"/>
        <w:rPr>
          <w:noProof/>
          <w:highlight w:val="yellow"/>
        </w:rPr>
      </w:pPr>
    </w:p>
    <w:p w:rsidR="0077083C" w:rsidRPr="002726AC" w:rsidRDefault="00FF3788" w:rsidP="0077083C">
      <w:pPr>
        <w:jc w:val="both"/>
        <w:rPr>
          <w:noProof/>
        </w:rPr>
      </w:pPr>
      <w:r w:rsidRPr="002726AC">
        <w:rPr>
          <w:noProof/>
          <w:lang w:eastAsia="lt-LT"/>
        </w:rPr>
        <w:drawing>
          <wp:inline distT="0" distB="0" distL="0" distR="0" wp14:anchorId="67820BA9" wp14:editId="030652AD">
            <wp:extent cx="6280785" cy="2962275"/>
            <wp:effectExtent l="0" t="0" r="24765" b="9525"/>
            <wp:docPr id="5" name="Paveikslėli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7083C" w:rsidRPr="002726AC" w:rsidRDefault="0077083C" w:rsidP="0077083C">
      <w:pPr>
        <w:jc w:val="center"/>
        <w:rPr>
          <w:noProof/>
          <w:lang w:eastAsia="lt-LT"/>
        </w:rPr>
      </w:pPr>
      <w:r w:rsidRPr="002726AC">
        <w:rPr>
          <w:noProof/>
          <w:lang w:eastAsia="lt-LT"/>
        </w:rPr>
        <w:t>5 pav. Technologinio kuro kainų palyginimas</w:t>
      </w:r>
    </w:p>
    <w:p w:rsidR="0077083C" w:rsidRPr="002726AC" w:rsidRDefault="0077083C" w:rsidP="0077083C">
      <w:pPr>
        <w:jc w:val="both"/>
        <w:rPr>
          <w:noProof/>
          <w:lang w:eastAsia="lt-LT"/>
        </w:rPr>
      </w:pPr>
    </w:p>
    <w:p w:rsidR="0077083C" w:rsidRPr="002726AC" w:rsidRDefault="0077083C" w:rsidP="009707A0">
      <w:pPr>
        <w:ind w:firstLine="1134"/>
        <w:jc w:val="both"/>
        <w:rPr>
          <w:noProof/>
          <w:lang w:eastAsia="lt-LT"/>
        </w:rPr>
      </w:pPr>
      <w:r w:rsidRPr="002726AC">
        <w:rPr>
          <w:noProof/>
          <w:lang w:eastAsia="lt-LT"/>
        </w:rPr>
        <w:t xml:space="preserve">Technologinio kuro struktūra 2015 m. kito nežymiai (6 pav.). Dėl 2014 m. lapkritį pradėtos eksploatuoti Kartenos kultūros namų katilinės, kūrenamos granulėmis, 2015 m. medienos granulių kiekis bendrame kuro balanse padidėjo 0,3 procentiniais punktais. 2015 m. technologinio kuro struktūroje didžiąją dalį - 85,2 %  sudarė medienos atliekos. Pagrindinėse katilinėse iki 93 % šilumos energijos pagaminama deginant medienos atliekas, 7 % - gamtines dujas. Perduotose katilinėse šilumos </w:t>
      </w:r>
      <w:r w:rsidRPr="002726AC">
        <w:rPr>
          <w:noProof/>
          <w:lang w:eastAsia="lt-LT"/>
        </w:rPr>
        <w:lastRenderedPageBreak/>
        <w:t>gamybai sunaudota 37 % gamtinių dujų, 1 % akmens anglies, 33 % medienos atliekų, 24 % medienos granulių ir 5 % suskystintų dujų.</w:t>
      </w:r>
    </w:p>
    <w:p w:rsidR="0077083C" w:rsidRPr="002726AC" w:rsidRDefault="00FF3788" w:rsidP="0077083C">
      <w:pPr>
        <w:jc w:val="both"/>
        <w:rPr>
          <w:noProof/>
          <w:lang w:eastAsia="lt-LT"/>
        </w:rPr>
      </w:pPr>
      <w:r w:rsidRPr="002726AC">
        <w:rPr>
          <w:noProof/>
          <w:lang w:eastAsia="lt-LT"/>
        </w:rPr>
        <w:drawing>
          <wp:inline distT="0" distB="0" distL="0" distR="0" wp14:anchorId="249E6920" wp14:editId="6C33C5E5">
            <wp:extent cx="6320155" cy="3063875"/>
            <wp:effectExtent l="0" t="0" r="23495" b="22225"/>
            <wp:docPr id="6" name="Paveikslėli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7083C" w:rsidRPr="002726AC" w:rsidRDefault="0077083C" w:rsidP="0077083C">
      <w:pPr>
        <w:jc w:val="center"/>
        <w:rPr>
          <w:noProof/>
          <w:lang w:eastAsia="lt-LT"/>
        </w:rPr>
      </w:pPr>
      <w:r w:rsidRPr="002726AC">
        <w:rPr>
          <w:noProof/>
          <w:lang w:eastAsia="lt-LT"/>
        </w:rPr>
        <w:t>6 pav. Technologinio kuro struktūra</w:t>
      </w:r>
    </w:p>
    <w:p w:rsidR="009707A0" w:rsidRPr="002726AC" w:rsidRDefault="009707A0" w:rsidP="0077083C">
      <w:pPr>
        <w:jc w:val="center"/>
        <w:rPr>
          <w:noProof/>
          <w:lang w:eastAsia="lt-LT"/>
        </w:rPr>
      </w:pPr>
    </w:p>
    <w:p w:rsidR="0077083C" w:rsidRPr="002726AC" w:rsidRDefault="0077083C" w:rsidP="009707A0">
      <w:pPr>
        <w:ind w:firstLine="1134"/>
        <w:jc w:val="both"/>
        <w:rPr>
          <w:noProof/>
          <w:vertAlign w:val="superscript"/>
        </w:rPr>
      </w:pPr>
      <w:r w:rsidRPr="002726AC">
        <w:rPr>
          <w:noProof/>
        </w:rPr>
        <w:t>Sąlyginio kuro sąnaudos 1 MWh pagaminti 2015 m. sumažėjo 0,8 %, t</w:t>
      </w:r>
      <w:r w:rsidR="009707A0" w:rsidRPr="002726AC">
        <w:rPr>
          <w:noProof/>
        </w:rPr>
        <w:t xml:space="preserve">ai </w:t>
      </w:r>
      <w:r w:rsidRPr="002726AC">
        <w:rPr>
          <w:noProof/>
        </w:rPr>
        <w:t>y</w:t>
      </w:r>
      <w:r w:rsidR="009707A0" w:rsidRPr="002726AC">
        <w:rPr>
          <w:noProof/>
        </w:rPr>
        <w:t>ra,</w:t>
      </w:r>
      <w:r w:rsidRPr="002726AC">
        <w:rPr>
          <w:noProof/>
        </w:rPr>
        <w:t xml:space="preserve"> nuo 96,55 kg</w:t>
      </w:r>
      <w:r w:rsidRPr="002726AC">
        <w:rPr>
          <w:noProof/>
          <w:vertAlign w:val="subscript"/>
        </w:rPr>
        <w:t>ne</w:t>
      </w:r>
      <w:r w:rsidRPr="002726AC">
        <w:rPr>
          <w:noProof/>
        </w:rPr>
        <w:t>/MWh iki 95,78 kg</w:t>
      </w:r>
      <w:r w:rsidRPr="002726AC">
        <w:rPr>
          <w:noProof/>
          <w:vertAlign w:val="subscript"/>
        </w:rPr>
        <w:t>ne</w:t>
      </w:r>
      <w:r w:rsidRPr="002726AC">
        <w:rPr>
          <w:noProof/>
        </w:rPr>
        <w:t>/MWh.</w:t>
      </w:r>
    </w:p>
    <w:p w:rsidR="0077083C" w:rsidRPr="002726AC" w:rsidRDefault="0077083C" w:rsidP="009707A0">
      <w:pPr>
        <w:ind w:firstLine="1134"/>
        <w:jc w:val="both"/>
        <w:rPr>
          <w:noProof/>
        </w:rPr>
      </w:pPr>
      <w:r w:rsidRPr="002726AC">
        <w:rPr>
          <w:noProof/>
        </w:rPr>
        <w:t>Elektros energijos 2015 m. sunaudota 726,385 tūkst. kWh, tai 0,84 % mažiau nei 2014 m. (732,505 tūkst. kWh). Mažesnį elektros energijos sunaudojimą lėmė dėl mažesnės gamybos sumažėjęs el</w:t>
      </w:r>
      <w:r w:rsidR="00FD1483" w:rsidRPr="002726AC">
        <w:rPr>
          <w:noProof/>
        </w:rPr>
        <w:t>ektros</w:t>
      </w:r>
      <w:r w:rsidRPr="002726AC">
        <w:rPr>
          <w:noProof/>
        </w:rPr>
        <w:t xml:space="preserve"> energijos kiekis technologinėms reikmėms. Elektros energija sunaudota technologinėms reikmėms sudarė 95,3</w:t>
      </w:r>
      <w:r w:rsidR="008855C5" w:rsidRPr="002726AC">
        <w:rPr>
          <w:noProof/>
        </w:rPr>
        <w:t xml:space="preserve"> </w:t>
      </w:r>
      <w:r w:rsidRPr="002726AC">
        <w:rPr>
          <w:noProof/>
        </w:rPr>
        <w:t xml:space="preserve">%, ūkio reikmėms </w:t>
      </w:r>
      <w:r w:rsidR="008855C5" w:rsidRPr="002726AC">
        <w:rPr>
          <w:noProof/>
        </w:rPr>
        <w:t xml:space="preserve">- </w:t>
      </w:r>
      <w:r w:rsidRPr="002726AC">
        <w:rPr>
          <w:noProof/>
        </w:rPr>
        <w:t>4,7</w:t>
      </w:r>
      <w:r w:rsidR="008855C5" w:rsidRPr="002726AC">
        <w:rPr>
          <w:noProof/>
        </w:rPr>
        <w:t xml:space="preserve"> </w:t>
      </w:r>
      <w:r w:rsidRPr="002726AC">
        <w:rPr>
          <w:noProof/>
        </w:rPr>
        <w:t>%. Elektros energijos sąnaudos 1 MWh pagaminti sudarė 15,75 kWh/MWh, tai 0,13 % mažiau lyginant su 2014 m. (15,77 kWh/MWh). 2015 m. vidutinė el</w:t>
      </w:r>
      <w:r w:rsidR="008855C5" w:rsidRPr="002726AC">
        <w:rPr>
          <w:noProof/>
        </w:rPr>
        <w:t>ektros</w:t>
      </w:r>
      <w:r w:rsidRPr="002726AC">
        <w:rPr>
          <w:noProof/>
        </w:rPr>
        <w:t xml:space="preserve"> energijos kaina buvo 11,13 ct/kWh, tai 0,9 ct/kWh a</w:t>
      </w:r>
      <w:r w:rsidR="002726AC" w:rsidRPr="002726AC">
        <w:rPr>
          <w:noProof/>
        </w:rPr>
        <w:t>rba 7,5 % mažesnė nei 2014 m. (</w:t>
      </w:r>
      <w:r w:rsidRPr="002726AC">
        <w:rPr>
          <w:noProof/>
        </w:rPr>
        <w:t>12,03 ct/kWh). Dėl mažesnio elektros energijos sunaudojimo ir mažesnės kainos elektros energijos sąnaudos 2015 m. sumažėjo 7,3 tūkst. Eur arba 8,3 %.</w:t>
      </w:r>
    </w:p>
    <w:p w:rsidR="001331D7" w:rsidRPr="002726AC" w:rsidRDefault="00DD5FAB" w:rsidP="002F7B5D">
      <w:pPr>
        <w:ind w:firstLine="1134"/>
        <w:jc w:val="both"/>
        <w:rPr>
          <w:noProof/>
        </w:rPr>
      </w:pPr>
      <w:r w:rsidRPr="002726AC">
        <w:rPr>
          <w:noProof/>
        </w:rPr>
        <w:t>Metų eigoje buvo atlikta 18 viešo pirkimo konkursų, kurių vertė viršijo 3 tūkst. eurų sumą.</w:t>
      </w:r>
      <w:r w:rsidR="00BE2643" w:rsidRPr="002726AC">
        <w:rPr>
          <w:noProof/>
        </w:rPr>
        <w:t xml:space="preserve"> Vidaus durų pirkimą </w:t>
      </w:r>
      <w:r w:rsidRPr="002726AC">
        <w:rPr>
          <w:noProof/>
        </w:rPr>
        <w:t>administraciniam pastatui laimėjo G. Jonausko įmonė – 3008,25 eurų</w:t>
      </w:r>
      <w:r w:rsidR="00245380" w:rsidRPr="002726AC">
        <w:rPr>
          <w:noProof/>
        </w:rPr>
        <w:t xml:space="preserve"> </w:t>
      </w:r>
      <w:r w:rsidRPr="002726AC">
        <w:rPr>
          <w:noProof/>
        </w:rPr>
        <w:t>Vaizdo stebėjimo sistemos montavimo ir instaliavimo pirkimo konkursą laimėjo UAB „Topara“ – 3167,25 eurų.</w:t>
      </w:r>
      <w:r w:rsidR="00245380" w:rsidRPr="002726AC">
        <w:rPr>
          <w:noProof/>
        </w:rPr>
        <w:t xml:space="preserve"> </w:t>
      </w:r>
      <w:r w:rsidRPr="002726AC">
        <w:rPr>
          <w:noProof/>
        </w:rPr>
        <w:t>Darbo rūbų ir asmeninės apsaugos priemonių pirkimo konkursą laimėjo UAB „Algrima“ – 5587,86 eurų.</w:t>
      </w:r>
      <w:r w:rsidR="00245380" w:rsidRPr="002726AC">
        <w:rPr>
          <w:noProof/>
        </w:rPr>
        <w:t xml:space="preserve"> </w:t>
      </w:r>
      <w:r w:rsidR="00AD75B2" w:rsidRPr="002726AC">
        <w:rPr>
          <w:noProof/>
        </w:rPr>
        <w:t>Gamyklinių būdu į</w:t>
      </w:r>
      <w:r w:rsidRPr="002726AC">
        <w:rPr>
          <w:noProof/>
        </w:rPr>
        <w:t>zoliuot</w:t>
      </w:r>
      <w:r w:rsidR="00AD75B2" w:rsidRPr="002726AC">
        <w:rPr>
          <w:noProof/>
        </w:rPr>
        <w:t>ų</w:t>
      </w:r>
      <w:r w:rsidRPr="002726AC">
        <w:rPr>
          <w:noProof/>
        </w:rPr>
        <w:t xml:space="preserve"> vamzdžių ir jų jungiamųjų dalių pirkimą laimėjo UAB „Nepriklausomos energijos paslaugos“ – 9915,41 eurų.</w:t>
      </w:r>
      <w:r w:rsidR="00245380" w:rsidRPr="002726AC">
        <w:rPr>
          <w:noProof/>
        </w:rPr>
        <w:t xml:space="preserve"> </w:t>
      </w:r>
      <w:r w:rsidR="00651386" w:rsidRPr="002726AC">
        <w:rPr>
          <w:noProof/>
        </w:rPr>
        <w:t>Į</w:t>
      </w:r>
      <w:r w:rsidR="00AD75B2" w:rsidRPr="002726AC">
        <w:rPr>
          <w:noProof/>
        </w:rPr>
        <w:t>vairių skersmenų</w:t>
      </w:r>
      <w:r w:rsidRPr="002726AC">
        <w:rPr>
          <w:noProof/>
        </w:rPr>
        <w:t xml:space="preserve"> privirinamų rutulinių ventilių pirkimą laimėjo UAB „Navalita“ – 4214,76 eurų.</w:t>
      </w:r>
      <w:r w:rsidR="00245380" w:rsidRPr="002726AC">
        <w:rPr>
          <w:noProof/>
        </w:rPr>
        <w:t xml:space="preserve"> </w:t>
      </w:r>
      <w:r w:rsidR="001331D7" w:rsidRPr="002726AC">
        <w:rPr>
          <w:noProof/>
        </w:rPr>
        <w:t>Šilumos skaitiklių ir monometrų patikros konkursą laimėjo AB „Axis industries“ – 4214,76 eurų.</w:t>
      </w:r>
      <w:r w:rsidR="00245380" w:rsidRPr="002726AC">
        <w:rPr>
          <w:noProof/>
        </w:rPr>
        <w:t xml:space="preserve"> </w:t>
      </w:r>
      <w:r w:rsidR="00AD75B2" w:rsidRPr="002726AC">
        <w:rPr>
          <w:noProof/>
        </w:rPr>
        <w:t>2015-2016 m. statybinių medžiagų</w:t>
      </w:r>
      <w:r w:rsidR="001331D7" w:rsidRPr="002726AC">
        <w:rPr>
          <w:noProof/>
        </w:rPr>
        <w:t xml:space="preserve"> pirkimą laimėjo UAB „Midgardas“ – 8021,65 eurų.</w:t>
      </w:r>
      <w:r w:rsidR="00245380" w:rsidRPr="002726AC">
        <w:rPr>
          <w:noProof/>
        </w:rPr>
        <w:t xml:space="preserve"> </w:t>
      </w:r>
      <w:r w:rsidR="001331D7" w:rsidRPr="002726AC">
        <w:rPr>
          <w:noProof/>
        </w:rPr>
        <w:t>Finansinių ataskaitų audito paslaugų pirkimą (pirkimą vykdė Kretingos rajono savivaldybės administracija) laimėjo UAB „Audito tiklsas“ -12</w:t>
      </w:r>
      <w:r w:rsidR="00B5198A" w:rsidRPr="002726AC">
        <w:rPr>
          <w:noProof/>
        </w:rPr>
        <w:t xml:space="preserve"> </w:t>
      </w:r>
      <w:r w:rsidR="001331D7" w:rsidRPr="002726AC">
        <w:rPr>
          <w:noProof/>
        </w:rPr>
        <w:t>450 eurų.</w:t>
      </w:r>
      <w:r w:rsidR="00245380" w:rsidRPr="002726AC">
        <w:rPr>
          <w:noProof/>
        </w:rPr>
        <w:t xml:space="preserve"> </w:t>
      </w:r>
      <w:r w:rsidR="001331D7" w:rsidRPr="002726AC">
        <w:rPr>
          <w:noProof/>
        </w:rPr>
        <w:t>Dūmtraukio (kamino) statybos konkursą laimėjo UAB „Enerstena“ – 146950 eurų.</w:t>
      </w:r>
      <w:r w:rsidR="00245380" w:rsidRPr="002726AC">
        <w:rPr>
          <w:noProof/>
        </w:rPr>
        <w:t xml:space="preserve"> </w:t>
      </w:r>
      <w:r w:rsidR="001331D7" w:rsidRPr="002726AC">
        <w:rPr>
          <w:noProof/>
        </w:rPr>
        <w:t>Paraiškų taršos leidimams parengimo paslaugos pirkimą laimėjo UAB „EcoIri Solution“ – 3310 eurų.</w:t>
      </w:r>
      <w:r w:rsidR="00245380" w:rsidRPr="002726AC">
        <w:rPr>
          <w:noProof/>
        </w:rPr>
        <w:t xml:space="preserve"> </w:t>
      </w:r>
      <w:r w:rsidR="001331D7" w:rsidRPr="002726AC">
        <w:rPr>
          <w:noProof/>
        </w:rPr>
        <w:t>Techninės priežiūros paslaugos pirkimą (dūmtrauko statybos darbai) laimėjo UAB „Sweco Lietuva“ – 3310 eurų.</w:t>
      </w:r>
      <w:r w:rsidR="00245380" w:rsidRPr="002726AC">
        <w:rPr>
          <w:noProof/>
        </w:rPr>
        <w:t xml:space="preserve"> </w:t>
      </w:r>
      <w:r w:rsidR="001331D7" w:rsidRPr="002726AC">
        <w:rPr>
          <w:noProof/>
        </w:rPr>
        <w:t>Grandinės pirkimo konkurą (</w:t>
      </w:r>
      <w:r w:rsidR="00AD75B2" w:rsidRPr="002726AC">
        <w:rPr>
          <w:noProof/>
        </w:rPr>
        <w:t xml:space="preserve">transporteriams, </w:t>
      </w:r>
      <w:r w:rsidR="001331D7" w:rsidRPr="002726AC">
        <w:rPr>
          <w:noProof/>
        </w:rPr>
        <w:t>katilinei Nr. 2) laimėjo UAB „Dagmita“ – 5230,80 eurų</w:t>
      </w:r>
      <w:r w:rsidR="00AD75B2" w:rsidRPr="002726AC">
        <w:rPr>
          <w:noProof/>
        </w:rPr>
        <w:t>.</w:t>
      </w:r>
      <w:r w:rsidR="00245380" w:rsidRPr="002726AC">
        <w:rPr>
          <w:noProof/>
        </w:rPr>
        <w:t xml:space="preserve"> </w:t>
      </w:r>
      <w:r w:rsidR="001331D7" w:rsidRPr="002726AC">
        <w:rPr>
          <w:noProof/>
        </w:rPr>
        <w:t>Mašinos</w:t>
      </w:r>
      <w:r w:rsidR="00AD75B2" w:rsidRPr="002726AC">
        <w:rPr>
          <w:noProof/>
        </w:rPr>
        <w:t xml:space="preserve"> </w:t>
      </w:r>
      <w:r w:rsidR="00F5129A" w:rsidRPr="002726AC">
        <w:rPr>
          <w:noProof/>
        </w:rPr>
        <w:t>savivarčio</w:t>
      </w:r>
      <w:r w:rsidR="00AD75B2" w:rsidRPr="002726AC">
        <w:rPr>
          <w:noProof/>
        </w:rPr>
        <w:t xml:space="preserve"> -</w:t>
      </w:r>
      <w:r w:rsidR="00F5129A" w:rsidRPr="002726AC">
        <w:rPr>
          <w:noProof/>
        </w:rPr>
        <w:t xml:space="preserve"> sunkvežimio</w:t>
      </w:r>
      <w:r w:rsidR="001331D7" w:rsidRPr="002726AC">
        <w:rPr>
          <w:noProof/>
        </w:rPr>
        <w:t xml:space="preserve"> pirkimo konkursą laimėjo SIA Rudzats – 18800 eurų.</w:t>
      </w:r>
      <w:r w:rsidR="002F7B5D" w:rsidRPr="002726AC">
        <w:rPr>
          <w:noProof/>
        </w:rPr>
        <w:t xml:space="preserve"> </w:t>
      </w:r>
      <w:r w:rsidR="00F5129A" w:rsidRPr="002726AC">
        <w:rPr>
          <w:noProof/>
        </w:rPr>
        <w:t>Kondesac</w:t>
      </w:r>
      <w:r w:rsidR="001331D7" w:rsidRPr="002726AC">
        <w:rPr>
          <w:noProof/>
        </w:rPr>
        <w:t>ini</w:t>
      </w:r>
      <w:r w:rsidR="00F5129A" w:rsidRPr="002726AC">
        <w:rPr>
          <w:noProof/>
        </w:rPr>
        <w:t>o ekonomaizerio kondesato</w:t>
      </w:r>
      <w:r w:rsidR="001331D7" w:rsidRPr="002726AC">
        <w:rPr>
          <w:noProof/>
        </w:rPr>
        <w:t xml:space="preserve"> sistemos</w:t>
      </w:r>
      <w:r w:rsidR="00F5129A" w:rsidRPr="002726AC">
        <w:rPr>
          <w:noProof/>
        </w:rPr>
        <w:t xml:space="preserve"> valymo cheminių reagentų</w:t>
      </w:r>
      <w:r w:rsidR="001331D7" w:rsidRPr="002726AC">
        <w:rPr>
          <w:noProof/>
        </w:rPr>
        <w:t xml:space="preserve"> pirkimas – UAB „Termotechnika“ – 8835,38 eurų</w:t>
      </w:r>
      <w:r w:rsidR="00AD75B2" w:rsidRPr="002726AC">
        <w:rPr>
          <w:noProof/>
        </w:rPr>
        <w:t>.</w:t>
      </w:r>
      <w:r w:rsidR="00245380" w:rsidRPr="002726AC">
        <w:rPr>
          <w:noProof/>
        </w:rPr>
        <w:t xml:space="preserve"> </w:t>
      </w:r>
      <w:r w:rsidR="001331D7" w:rsidRPr="002726AC">
        <w:rPr>
          <w:noProof/>
        </w:rPr>
        <w:t>Laboratorinės įrangos ir baldų pirkimą laimėjo UAB „Labochema“ – 13</w:t>
      </w:r>
      <w:r w:rsidR="00B5198A" w:rsidRPr="002726AC">
        <w:rPr>
          <w:noProof/>
        </w:rPr>
        <w:t xml:space="preserve"> </w:t>
      </w:r>
      <w:r w:rsidR="001331D7" w:rsidRPr="002726AC">
        <w:rPr>
          <w:noProof/>
        </w:rPr>
        <w:t>849</w:t>
      </w:r>
      <w:r w:rsidR="00B5198A" w:rsidRPr="002726AC">
        <w:rPr>
          <w:noProof/>
        </w:rPr>
        <w:t xml:space="preserve"> </w:t>
      </w:r>
      <w:r w:rsidR="001331D7" w:rsidRPr="002726AC">
        <w:rPr>
          <w:noProof/>
        </w:rPr>
        <w:t>eurų</w:t>
      </w:r>
      <w:r w:rsidR="00B5198A" w:rsidRPr="002726AC">
        <w:rPr>
          <w:noProof/>
        </w:rPr>
        <w:t xml:space="preserve">. </w:t>
      </w:r>
      <w:r w:rsidR="001331D7" w:rsidRPr="002726AC">
        <w:t xml:space="preserve">Katilinės Nr. 2 </w:t>
      </w:r>
      <w:r w:rsidR="001331D7" w:rsidRPr="002726AC">
        <w:lastRenderedPageBreak/>
        <w:t>priestato kapitalinio</w:t>
      </w:r>
      <w:r w:rsidR="00AB5EF7" w:rsidRPr="002726AC">
        <w:t xml:space="preserve"> (dalies</w:t>
      </w:r>
      <w:r w:rsidR="00AD75B2" w:rsidRPr="002726AC">
        <w:t>, pirmas etapas</w:t>
      </w:r>
      <w:r w:rsidR="00AB5EF7" w:rsidRPr="002726AC">
        <w:t xml:space="preserve">) </w:t>
      </w:r>
      <w:r w:rsidR="001331D7" w:rsidRPr="002726AC">
        <w:t xml:space="preserve"> remonto darbų konkursą laimėjo UAB „</w:t>
      </w:r>
      <w:proofErr w:type="spellStart"/>
      <w:r w:rsidR="001331D7" w:rsidRPr="002726AC">
        <w:t>Stakreta</w:t>
      </w:r>
      <w:proofErr w:type="spellEnd"/>
      <w:r w:rsidR="001331D7" w:rsidRPr="002726AC">
        <w:t>“ - 32 796,35 eurų.</w:t>
      </w:r>
      <w:r w:rsidR="00245380" w:rsidRPr="002726AC">
        <w:rPr>
          <w:noProof/>
        </w:rPr>
        <w:t xml:space="preserve"> </w:t>
      </w:r>
      <w:r w:rsidR="001331D7" w:rsidRPr="002726AC">
        <w:rPr>
          <w:noProof/>
        </w:rPr>
        <w:t>Pirkome kietojo biokuro kokybės parametrų nustatymo paslaugą, kurią teiks</w:t>
      </w:r>
      <w:r w:rsidR="001331D7" w:rsidRPr="002726AC">
        <w:t xml:space="preserve"> UAB „</w:t>
      </w:r>
      <w:proofErr w:type="spellStart"/>
      <w:r w:rsidR="001331D7" w:rsidRPr="002726AC">
        <w:t>Labtarna</w:t>
      </w:r>
      <w:proofErr w:type="spellEnd"/>
      <w:r w:rsidR="001331D7" w:rsidRPr="002726AC">
        <w:t xml:space="preserve">“. </w:t>
      </w:r>
      <w:r w:rsidR="001331D7" w:rsidRPr="002726AC">
        <w:rPr>
          <w:noProof/>
        </w:rPr>
        <w:t xml:space="preserve">Vieno mėginio tyrimų įkainis - </w:t>
      </w:r>
      <w:r w:rsidR="001331D7" w:rsidRPr="002726AC">
        <w:t>28,00 eurų (be PVM).</w:t>
      </w:r>
      <w:r w:rsidR="00245380" w:rsidRPr="002726AC">
        <w:rPr>
          <w:noProof/>
        </w:rPr>
        <w:t xml:space="preserve"> </w:t>
      </w:r>
      <w:r w:rsidR="001331D7" w:rsidRPr="002726AC">
        <w:rPr>
          <w:noProof/>
        </w:rPr>
        <w:t>Mažos vertės pirkimų vykdyta –  171 vnt.</w:t>
      </w:r>
    </w:p>
    <w:p w:rsidR="00D22105" w:rsidRPr="002726AC" w:rsidRDefault="00F936D1" w:rsidP="002F7B5D">
      <w:pPr>
        <w:ind w:firstLine="1134"/>
        <w:jc w:val="both"/>
        <w:rPr>
          <w:noProof/>
        </w:rPr>
      </w:pPr>
      <w:r w:rsidRPr="002726AC">
        <w:rPr>
          <w:noProof/>
        </w:rPr>
        <w:t>Aptarnaujant gyvenamųjų namų ir organizacijų pastatų šiluminius punktus</w:t>
      </w:r>
      <w:r w:rsidR="00E76702" w:rsidRPr="002726AC">
        <w:rPr>
          <w:noProof/>
        </w:rPr>
        <w:t>,</w:t>
      </w:r>
      <w:r w:rsidRPr="002726AC">
        <w:rPr>
          <w:noProof/>
        </w:rPr>
        <w:t xml:space="preserve"> </w:t>
      </w:r>
      <w:r w:rsidR="00E76702" w:rsidRPr="002726AC">
        <w:rPr>
          <w:noProof/>
        </w:rPr>
        <w:t>šildymo ir</w:t>
      </w:r>
      <w:r w:rsidRPr="002726AC">
        <w:rPr>
          <w:noProof/>
        </w:rPr>
        <w:t xml:space="preserve"> karšto vandens sistemas</w:t>
      </w:r>
      <w:r w:rsidR="002F7B5D" w:rsidRPr="002726AC">
        <w:rPr>
          <w:noProof/>
        </w:rPr>
        <w:t>,</w:t>
      </w:r>
      <w:r w:rsidRPr="002726AC">
        <w:rPr>
          <w:noProof/>
        </w:rPr>
        <w:t xml:space="preserve"> atlikta darbų už -72,88 tūkst.eurų</w:t>
      </w:r>
      <w:r w:rsidR="00E76702" w:rsidRPr="002726AC">
        <w:rPr>
          <w:noProof/>
        </w:rPr>
        <w:t>.</w:t>
      </w:r>
      <w:r w:rsidR="00C33F2B" w:rsidRPr="002726AC">
        <w:rPr>
          <w:noProof/>
        </w:rPr>
        <w:t xml:space="preserve"> Įrengtas pilnai automatizuotas šiluminis punktas</w:t>
      </w:r>
      <w:r w:rsidR="00637B03" w:rsidRPr="002726AC">
        <w:rPr>
          <w:noProof/>
        </w:rPr>
        <w:t>, dar vienam įrengta automatinė valdymo sistema.</w:t>
      </w:r>
    </w:p>
    <w:p w:rsidR="00D22105" w:rsidRPr="002726AC" w:rsidRDefault="002726AC" w:rsidP="002F7B5D">
      <w:pPr>
        <w:ind w:firstLine="1134"/>
        <w:jc w:val="both"/>
        <w:rPr>
          <w:color w:val="000000"/>
          <w:lang w:eastAsia="lt-LT"/>
        </w:rPr>
      </w:pPr>
      <w:r>
        <w:rPr>
          <w:color w:val="000000"/>
          <w:lang w:eastAsia="lt-LT"/>
        </w:rPr>
        <w:t>I</w:t>
      </w:r>
      <w:r w:rsidR="00045696" w:rsidRPr="002726AC">
        <w:rPr>
          <w:color w:val="000000"/>
          <w:lang w:eastAsia="lt-LT"/>
        </w:rPr>
        <w:t>šlieka senos p</w:t>
      </w:r>
      <w:r w:rsidR="00D22105" w:rsidRPr="002726AC">
        <w:rPr>
          <w:color w:val="000000"/>
          <w:lang w:eastAsia="lt-LT"/>
        </w:rPr>
        <w:t>roblemos</w:t>
      </w:r>
      <w:r w:rsidR="00045696" w:rsidRPr="002726AC">
        <w:rPr>
          <w:color w:val="000000"/>
          <w:lang w:eastAsia="lt-LT"/>
        </w:rPr>
        <w:t xml:space="preserve">, kai gyventojai labai neaktyvus dėl namų </w:t>
      </w:r>
      <w:r w:rsidR="002D0BAC" w:rsidRPr="002726AC">
        <w:rPr>
          <w:color w:val="000000"/>
          <w:lang w:eastAsia="lt-LT"/>
        </w:rPr>
        <w:t xml:space="preserve">vidaus šildymo </w:t>
      </w:r>
      <w:r w:rsidR="00045696" w:rsidRPr="002726AC">
        <w:rPr>
          <w:color w:val="000000"/>
          <w:lang w:eastAsia="lt-LT"/>
        </w:rPr>
        <w:t>sistemų ar šiluminių punktų rekonstrukcijos, santykinai nedidelės išlaidos</w:t>
      </w:r>
      <w:r w:rsidR="00AB29B0" w:rsidRPr="002726AC">
        <w:rPr>
          <w:color w:val="000000"/>
          <w:lang w:eastAsia="lt-LT"/>
        </w:rPr>
        <w:t xml:space="preserve"> galėtų stipriai sumažinti</w:t>
      </w:r>
      <w:r w:rsidR="002D0BAC" w:rsidRPr="002726AC">
        <w:rPr>
          <w:color w:val="000000"/>
          <w:lang w:eastAsia="lt-LT"/>
        </w:rPr>
        <w:t xml:space="preserve"> mokesčius už šilumą. S</w:t>
      </w:r>
      <w:r w:rsidR="00D22105" w:rsidRPr="002726AC">
        <w:rPr>
          <w:color w:val="000000"/>
          <w:lang w:eastAsia="lt-LT"/>
        </w:rPr>
        <w:t>urenkami eksploataci</w:t>
      </w:r>
      <w:r w:rsidR="002D0BAC" w:rsidRPr="002726AC">
        <w:rPr>
          <w:color w:val="000000"/>
          <w:lang w:eastAsia="lt-LT"/>
        </w:rPr>
        <w:t xml:space="preserve">niai mokesčiai iš daugiabučių namų yra per maži, kad būtų galima vykdyti didesnius darbus. Šiuo atveju tiek </w:t>
      </w:r>
      <w:r w:rsidR="00AB29B0" w:rsidRPr="002726AC">
        <w:rPr>
          <w:color w:val="000000"/>
          <w:lang w:eastAsia="lt-LT"/>
        </w:rPr>
        <w:t xml:space="preserve">UAB </w:t>
      </w:r>
      <w:r w:rsidR="002D0BAC" w:rsidRPr="002726AC">
        <w:rPr>
          <w:color w:val="000000"/>
          <w:lang w:eastAsia="lt-LT"/>
        </w:rPr>
        <w:t>„Kretingos būstas“</w:t>
      </w:r>
      <w:r w:rsidR="002F7B5D" w:rsidRPr="002726AC">
        <w:rPr>
          <w:color w:val="000000"/>
          <w:lang w:eastAsia="lt-LT"/>
        </w:rPr>
        <w:t>, tiek</w:t>
      </w:r>
      <w:r w:rsidR="00AB29B0" w:rsidRPr="002726AC">
        <w:rPr>
          <w:color w:val="000000"/>
          <w:lang w:eastAsia="lt-LT"/>
        </w:rPr>
        <w:t xml:space="preserve"> ir patys gyventojai turi būti labiau motyvuoti, susitarimo pagrindu skirti daugiau lėšų kaupimui.</w:t>
      </w:r>
      <w:r w:rsidR="002D0BAC" w:rsidRPr="002726AC">
        <w:rPr>
          <w:color w:val="000000"/>
          <w:lang w:eastAsia="lt-LT"/>
        </w:rPr>
        <w:t xml:space="preserve"> </w:t>
      </w:r>
      <w:r w:rsidR="00AB29B0" w:rsidRPr="002726AC">
        <w:rPr>
          <w:color w:val="000000"/>
          <w:lang w:eastAsia="lt-LT"/>
        </w:rPr>
        <w:t xml:space="preserve">Pagal dabar surenkamas lėšas ir atsižvelgiant į </w:t>
      </w:r>
      <w:r w:rsidR="00197241" w:rsidRPr="002726AC">
        <w:rPr>
          <w:color w:val="000000"/>
          <w:lang w:eastAsia="lt-LT"/>
        </w:rPr>
        <w:t xml:space="preserve">Šilumos tinklų ir šilumos vartojimo įrenginių priežiūros (eksploatacijos) </w:t>
      </w:r>
      <w:r w:rsidR="00AB29B0" w:rsidRPr="002726AC">
        <w:rPr>
          <w:color w:val="000000"/>
          <w:lang w:eastAsia="lt-LT"/>
        </w:rPr>
        <w:t>taisyklių reikalavimus darosi sudėtinga</w:t>
      </w:r>
      <w:r w:rsidR="00D22105" w:rsidRPr="002726AC">
        <w:rPr>
          <w:color w:val="000000"/>
          <w:lang w:eastAsia="lt-LT"/>
        </w:rPr>
        <w:t xml:space="preserve"> tinkamai atlikti priežiūrą.</w:t>
      </w:r>
    </w:p>
    <w:p w:rsidR="00646821" w:rsidRPr="002726AC" w:rsidRDefault="000C1F10" w:rsidP="002F7B5D">
      <w:pPr>
        <w:ind w:firstLine="1134"/>
        <w:jc w:val="both"/>
        <w:rPr>
          <w:color w:val="000000"/>
          <w:lang w:eastAsia="lt-LT"/>
        </w:rPr>
      </w:pPr>
      <w:r w:rsidRPr="002726AC">
        <w:rPr>
          <w:lang w:eastAsia="lt-LT"/>
        </w:rPr>
        <w:t xml:space="preserve">Pagal esamą šiluminių punktų ir vidaus šildymo, karšto vandens sistemų techninį stovį reikėtų atlikti 8 daugiabučių šiluminių punktų modernizavimą, įrengiant šiluminės energijos automatinį valdymą. Kitiems, penkiems daugiabučiams namams reiktų įrengti tiesioginio veikimo vožtuvus karšto vandens reguliavimui, o keturiems </w:t>
      </w:r>
      <w:r w:rsidRPr="002726AC">
        <w:rPr>
          <w:color w:val="000000"/>
          <w:lang w:eastAsia="lt-LT"/>
        </w:rPr>
        <w:t xml:space="preserve">pakeisti neekonomiškus, nusidėvėjusius greitaeigius </w:t>
      </w:r>
      <w:proofErr w:type="spellStart"/>
      <w:r w:rsidRPr="002726AC">
        <w:rPr>
          <w:color w:val="000000"/>
          <w:lang w:eastAsia="lt-LT"/>
        </w:rPr>
        <w:t>vamzdelinius</w:t>
      </w:r>
      <w:proofErr w:type="spellEnd"/>
      <w:r w:rsidRPr="002726AC">
        <w:rPr>
          <w:color w:val="000000"/>
          <w:lang w:eastAsia="lt-LT"/>
        </w:rPr>
        <w:t xml:space="preserve"> vandens </w:t>
      </w:r>
      <w:proofErr w:type="spellStart"/>
      <w:r w:rsidRPr="002726AC">
        <w:rPr>
          <w:color w:val="000000"/>
          <w:lang w:eastAsia="lt-LT"/>
        </w:rPr>
        <w:t>pašildytojus</w:t>
      </w:r>
      <w:proofErr w:type="spellEnd"/>
      <w:r w:rsidRPr="002726AC">
        <w:rPr>
          <w:color w:val="000000"/>
          <w:lang w:eastAsia="lt-LT"/>
        </w:rPr>
        <w:t>.</w:t>
      </w:r>
    </w:p>
    <w:p w:rsidR="00F80B3C" w:rsidRPr="002726AC" w:rsidRDefault="00D066DC" w:rsidP="007B1D66">
      <w:pPr>
        <w:ind w:firstLine="1134"/>
        <w:jc w:val="both"/>
      </w:pPr>
      <w:r w:rsidRPr="002726AC">
        <w:t>Pasibaigus šildymo sezonui buvo atliekami šilumos trasų hidrauliniai bandymai padidintu slėgi</w:t>
      </w:r>
      <w:r w:rsidR="007B1D66" w:rsidRPr="002726AC">
        <w:t>u</w:t>
      </w:r>
      <w:r w:rsidRPr="002726AC">
        <w:t>. Dalis šilumos trasų neatlaikė padidinto slėgio, tose vietose buvo atliekami remonto darbai, seni vamzdžiai keičiami izoliuotais vamzdžiais: Žaliojoje g. (nuo kameros</w:t>
      </w:r>
      <w:r w:rsidR="0087098E" w:rsidRPr="002726AC">
        <w:t xml:space="preserve"> Nr.</w:t>
      </w:r>
      <w:r w:rsidRPr="002726AC">
        <w:t xml:space="preserve"> 1003 link Žaliosios g. 12 namo) 2Ø60,3 – 73 m, Vytauto g. (nuo kameros </w:t>
      </w:r>
      <w:r w:rsidR="0087098E" w:rsidRPr="002726AC">
        <w:t>Nr.</w:t>
      </w:r>
      <w:r w:rsidRPr="002726AC">
        <w:t xml:space="preserve"> 2059 įvadas į Vytauto g. 129</w:t>
      </w:r>
      <w:r w:rsidR="0087098E" w:rsidRPr="002726AC">
        <w:t xml:space="preserve"> namą</w:t>
      </w:r>
      <w:r w:rsidRPr="002726AC">
        <w:t xml:space="preserve">) 2Ø60,3 – 24 m, </w:t>
      </w:r>
      <w:proofErr w:type="spellStart"/>
      <w:r w:rsidRPr="002726AC">
        <w:t>Mėguvos</w:t>
      </w:r>
      <w:proofErr w:type="spellEnd"/>
      <w:r w:rsidRPr="002726AC">
        <w:t xml:space="preserve"> g. (nuo kameros </w:t>
      </w:r>
      <w:r w:rsidR="0087098E" w:rsidRPr="002726AC">
        <w:t>Nr.</w:t>
      </w:r>
      <w:r w:rsidRPr="002726AC">
        <w:t xml:space="preserve"> 1013 link Rotušės a.) 2Ø139,7– 48 m, Darbėnai (nuo katilinės iki kameros ties vaikų darželiu) 2Ø60,3 – 77 m, Darbėnai (nuo kameros </w:t>
      </w:r>
      <w:r w:rsidR="007B1D66" w:rsidRPr="002726AC">
        <w:t>N</w:t>
      </w:r>
      <w:r w:rsidRPr="002726AC">
        <w:t>r.1 į Naujoji g.1) 2Ø42– 56,5 m.,</w:t>
      </w:r>
      <w:r w:rsidR="0087098E" w:rsidRPr="002726AC">
        <w:t xml:space="preserve"> Vydmantai (nuo kameros Nr. 3, iki kameros N</w:t>
      </w:r>
      <w:r w:rsidRPr="002726AC">
        <w:t>r. 4) 2Ø60,3 –</w:t>
      </w:r>
      <w:r w:rsidR="0087098E" w:rsidRPr="002726AC">
        <w:t xml:space="preserve"> 50 m, Vydmantai (nuo kameros N</w:t>
      </w:r>
      <w:r w:rsidRPr="002726AC">
        <w:t>r. 3 įvadas į Atžalyno g.</w:t>
      </w:r>
      <w:r w:rsidR="007B1D66" w:rsidRPr="002726AC">
        <w:t xml:space="preserve"> </w:t>
      </w:r>
      <w:r w:rsidRPr="002726AC">
        <w:t>4) 2Ø60,3 – 15 m, Melioratorių g. (nuo kameros</w:t>
      </w:r>
      <w:r w:rsidR="0087098E" w:rsidRPr="002726AC">
        <w:t xml:space="preserve"> Nr.</w:t>
      </w:r>
      <w:r w:rsidRPr="002726AC">
        <w:t xml:space="preserve"> 2016 į Melioratorių g.</w:t>
      </w:r>
      <w:r w:rsidR="00B5198A" w:rsidRPr="002726AC">
        <w:t xml:space="preserve"> </w:t>
      </w:r>
      <w:r w:rsidRPr="002726AC">
        <w:t>59</w:t>
      </w:r>
      <w:r w:rsidR="0087098E" w:rsidRPr="002726AC">
        <w:t xml:space="preserve"> namą</w:t>
      </w:r>
      <w:r w:rsidRPr="002726AC">
        <w:t>) 2Ø60,3– 8,0 m, Laisvės g. (nuo kameros</w:t>
      </w:r>
      <w:r w:rsidR="0087098E" w:rsidRPr="002726AC">
        <w:t xml:space="preserve"> Nr.</w:t>
      </w:r>
      <w:r w:rsidRPr="002726AC">
        <w:t xml:space="preserve"> 1026 į Laisvės g.</w:t>
      </w:r>
      <w:r w:rsidR="0087098E" w:rsidRPr="002726AC">
        <w:t xml:space="preserve"> Nr.</w:t>
      </w:r>
      <w:r w:rsidR="007B1D66" w:rsidRPr="002726AC">
        <w:t xml:space="preserve"> </w:t>
      </w:r>
      <w:r w:rsidRPr="002726AC">
        <w:t>1</w:t>
      </w:r>
      <w:r w:rsidR="0087098E" w:rsidRPr="002726AC">
        <w:t xml:space="preserve"> namą</w:t>
      </w:r>
      <w:r w:rsidRPr="002726AC">
        <w:t>) 2Ø60,3– 8,0 m. Viso 359,5 m</w:t>
      </w:r>
      <w:r w:rsidR="00171A92" w:rsidRPr="002726AC">
        <w:t>etrų</w:t>
      </w:r>
      <w:r w:rsidRPr="002726AC">
        <w:t xml:space="preserve"> trasų. Taip pat dalis seno vamzdyno</w:t>
      </w:r>
      <w:r w:rsidR="00F71C27" w:rsidRPr="002726AC">
        <w:t xml:space="preserve"> </w:t>
      </w:r>
      <w:r w:rsidR="00171A92" w:rsidRPr="002726AC">
        <w:t>(</w:t>
      </w:r>
      <w:r w:rsidR="00F71C27" w:rsidRPr="002726AC">
        <w:t>7 m</w:t>
      </w:r>
      <w:r w:rsidR="00171A92" w:rsidRPr="002726AC">
        <w:t>)</w:t>
      </w:r>
      <w:r w:rsidRPr="002726AC">
        <w:t xml:space="preserve"> Žemaitės al. bei Kęstučio g. pakeisti metali</w:t>
      </w:r>
      <w:r w:rsidR="00F71C27" w:rsidRPr="002726AC">
        <w:t>niais neizoliuotais vamzdžiais.</w:t>
      </w:r>
    </w:p>
    <w:p w:rsidR="009B25E9" w:rsidRPr="002726AC" w:rsidRDefault="000123CE" w:rsidP="007B1D66">
      <w:pPr>
        <w:ind w:firstLine="1134"/>
        <w:jc w:val="both"/>
        <w:rPr>
          <w:rStyle w:val="AntrinispavadinimasDiagrama"/>
          <w:rFonts w:ascii="Times New Roman" w:hAnsi="Times New Roman"/>
        </w:rPr>
      </w:pPr>
      <w:r w:rsidRPr="002726AC">
        <w:t>Bendras šilumos trasų ilgis 20,206 km, t</w:t>
      </w:r>
      <w:r w:rsidR="007B1D66" w:rsidRPr="002726AC">
        <w:t>ame tarpe,</w:t>
      </w:r>
      <w:r w:rsidR="00750257" w:rsidRPr="002726AC">
        <w:rPr>
          <w:rStyle w:val="AntrinispavadinimasDiagrama"/>
          <w:rFonts w:ascii="Times New Roman" w:hAnsi="Times New Roman"/>
        </w:rPr>
        <w:t xml:space="preserve"> </w:t>
      </w:r>
      <w:r w:rsidR="00D14409" w:rsidRPr="002726AC">
        <w:rPr>
          <w:rStyle w:val="AntrinispavadinimasDiagrama"/>
          <w:rFonts w:ascii="Times New Roman" w:hAnsi="Times New Roman"/>
        </w:rPr>
        <w:t xml:space="preserve">gamykliniu būdu su poliuretanu </w:t>
      </w:r>
      <w:r w:rsidR="00750257" w:rsidRPr="002726AC">
        <w:rPr>
          <w:rStyle w:val="AntrinispavadinimasDiagrama"/>
          <w:rFonts w:ascii="Times New Roman" w:hAnsi="Times New Roman"/>
        </w:rPr>
        <w:t>i</w:t>
      </w:r>
      <w:r w:rsidRPr="002726AC">
        <w:rPr>
          <w:rStyle w:val="AntrinispavadinimasDiagrama"/>
          <w:rFonts w:ascii="Times New Roman" w:hAnsi="Times New Roman"/>
        </w:rPr>
        <w:t>zoliuotai</w:t>
      </w:r>
      <w:r w:rsidR="00EA0919" w:rsidRPr="002726AC">
        <w:rPr>
          <w:rStyle w:val="AntrinispavadinimasDiagrama"/>
          <w:rFonts w:ascii="Times New Roman" w:hAnsi="Times New Roman"/>
        </w:rPr>
        <w:t>s vamzdžiais 7407</w:t>
      </w:r>
      <w:r w:rsidR="00646821" w:rsidRPr="002726AC">
        <w:rPr>
          <w:rStyle w:val="AntrinispavadinimasDiagrama"/>
          <w:rFonts w:ascii="Times New Roman" w:hAnsi="Times New Roman"/>
        </w:rPr>
        <w:t xml:space="preserve"> m arba 3</w:t>
      </w:r>
      <w:r w:rsidR="00EA0919" w:rsidRPr="002726AC">
        <w:rPr>
          <w:rStyle w:val="AntrinispavadinimasDiagrama"/>
          <w:rFonts w:ascii="Times New Roman" w:hAnsi="Times New Roman"/>
        </w:rPr>
        <w:t>6</w:t>
      </w:r>
      <w:r w:rsidR="00646821" w:rsidRPr="002726AC">
        <w:rPr>
          <w:rStyle w:val="AntrinispavadinimasDiagrama"/>
          <w:rFonts w:ascii="Times New Roman" w:hAnsi="Times New Roman"/>
        </w:rPr>
        <w:t>,</w:t>
      </w:r>
      <w:r w:rsidR="00EA0919" w:rsidRPr="002726AC">
        <w:rPr>
          <w:rStyle w:val="AntrinispavadinimasDiagrama"/>
          <w:rFonts w:ascii="Times New Roman" w:hAnsi="Times New Roman"/>
        </w:rPr>
        <w:t>66</w:t>
      </w:r>
      <w:r w:rsidR="003D559F" w:rsidRPr="002726AC">
        <w:rPr>
          <w:rStyle w:val="AntrinispavadinimasDiagrama"/>
          <w:rFonts w:ascii="Times New Roman" w:hAnsi="Times New Roman"/>
        </w:rPr>
        <w:t xml:space="preserve"> </w:t>
      </w:r>
      <w:r w:rsidR="00646821" w:rsidRPr="002726AC">
        <w:rPr>
          <w:rStyle w:val="AntrinispavadinimasDiagrama"/>
          <w:rFonts w:ascii="Times New Roman" w:hAnsi="Times New Roman"/>
        </w:rPr>
        <w:t>%.</w:t>
      </w:r>
    </w:p>
    <w:p w:rsidR="006A2A31" w:rsidRPr="002726AC" w:rsidRDefault="002F4CF1" w:rsidP="007B1D66">
      <w:pPr>
        <w:ind w:firstLine="1134"/>
        <w:jc w:val="both"/>
      </w:pPr>
      <w:r w:rsidRPr="002726AC">
        <w:t>2015 metais p</w:t>
      </w:r>
      <w:r w:rsidR="00AE36BB" w:rsidRPr="002726AC">
        <w:t>risijungė nauji vartotojai:</w:t>
      </w:r>
      <w:r w:rsidR="00750257" w:rsidRPr="002726AC">
        <w:t xml:space="preserve"> </w:t>
      </w:r>
      <w:r w:rsidRPr="002726AC">
        <w:t>gyvenamas namas Mokyklos g. 24, Kartenoje, su 731 m</w:t>
      </w:r>
      <w:r w:rsidRPr="002726AC">
        <w:rPr>
          <w:vertAlign w:val="superscript"/>
        </w:rPr>
        <w:t>2</w:t>
      </w:r>
      <w:r w:rsidR="00EA6EA8" w:rsidRPr="002726AC">
        <w:t xml:space="preserve"> </w:t>
      </w:r>
      <w:r w:rsidRPr="002726AC">
        <w:t xml:space="preserve">šildomu plotu, </w:t>
      </w:r>
      <w:r w:rsidR="00EA6EA8" w:rsidRPr="002726AC">
        <w:t xml:space="preserve">naujas </w:t>
      </w:r>
      <w:r w:rsidR="00750257" w:rsidRPr="002726AC">
        <w:t xml:space="preserve">LIDL </w:t>
      </w:r>
      <w:r w:rsidR="00EA6EA8" w:rsidRPr="002726AC">
        <w:t>prekybos centras,</w:t>
      </w:r>
      <w:r w:rsidRPr="002726AC">
        <w:t xml:space="preserve"> Žemaitės al.</w:t>
      </w:r>
      <w:r w:rsidR="00B5198A" w:rsidRPr="002726AC">
        <w:t xml:space="preserve"> </w:t>
      </w:r>
      <w:r w:rsidR="007C1802" w:rsidRPr="002726AC">
        <w:t>12, Kretingoje, kurio šildomas plotas 1948</w:t>
      </w:r>
      <w:r w:rsidR="00AE36BB" w:rsidRPr="002726AC">
        <w:t xml:space="preserve"> m</w:t>
      </w:r>
      <w:r w:rsidR="00AE36BB" w:rsidRPr="002726AC">
        <w:rPr>
          <w:vertAlign w:val="superscript"/>
        </w:rPr>
        <w:t>2</w:t>
      </w:r>
      <w:r w:rsidR="00F427DF" w:rsidRPr="002726AC">
        <w:t>.</w:t>
      </w:r>
    </w:p>
    <w:p w:rsidR="006A2A31" w:rsidRPr="002726AC" w:rsidRDefault="00BD48E7" w:rsidP="007B1D66">
      <w:pPr>
        <w:ind w:firstLine="1134"/>
        <w:jc w:val="both"/>
      </w:pPr>
      <w:r w:rsidRPr="002726AC">
        <w:t>Pagal</w:t>
      </w:r>
      <w:r w:rsidR="00E825D0" w:rsidRPr="002726AC">
        <w:t xml:space="preserve"> bendrovės investiciniame p</w:t>
      </w:r>
      <w:r w:rsidRPr="002726AC">
        <w:t>lane patvirtintas investicija</w:t>
      </w:r>
      <w:r w:rsidR="00E825D0" w:rsidRPr="002726AC">
        <w:t xml:space="preserve">s Katilinėje Nr. 2 </w:t>
      </w:r>
      <w:r w:rsidRPr="002726AC">
        <w:t>buvo įvykdyta naujo dūmtraukio</w:t>
      </w:r>
      <w:r w:rsidR="00EA019B" w:rsidRPr="002726AC">
        <w:t xml:space="preserve"> su </w:t>
      </w:r>
      <w:r w:rsidR="00FA4D84" w:rsidRPr="002726AC">
        <w:t>dūmtakiais</w:t>
      </w:r>
      <w:r w:rsidR="00EA019B" w:rsidRPr="002726AC">
        <w:t xml:space="preserve"> </w:t>
      </w:r>
      <w:r w:rsidRPr="002726AC">
        <w:t>statyba. Statybiniai darbai užbaigti 2015 metais, bet</w:t>
      </w:r>
      <w:r w:rsidR="007B1D66" w:rsidRPr="002726AC">
        <w:t>,</w:t>
      </w:r>
      <w:r w:rsidRPr="002726AC">
        <w:t xml:space="preserve"> pasikeitus </w:t>
      </w:r>
      <w:r w:rsidR="00EA019B" w:rsidRPr="002726AC">
        <w:t>Teritorijų planavimo ir va</w:t>
      </w:r>
      <w:r w:rsidRPr="002726AC">
        <w:t>lstybinės</w:t>
      </w:r>
      <w:r w:rsidR="00EA019B" w:rsidRPr="002726AC">
        <w:t xml:space="preserve"> statybo</w:t>
      </w:r>
      <w:r w:rsidR="00ED5832" w:rsidRPr="002726AC">
        <w:t>s</w:t>
      </w:r>
      <w:r w:rsidR="00EA019B" w:rsidRPr="002726AC">
        <w:t xml:space="preserve"> inspekcijos naujų objektų </w:t>
      </w:r>
      <w:r w:rsidR="00ED5832" w:rsidRPr="002726AC">
        <w:t>priėmimo</w:t>
      </w:r>
      <w:r w:rsidRPr="002726AC">
        <w:t xml:space="preserve"> tvarkai</w:t>
      </w:r>
      <w:r w:rsidR="007B1D66" w:rsidRPr="002726AC">
        <w:t>,</w:t>
      </w:r>
      <w:r w:rsidR="00ED5832" w:rsidRPr="002726AC">
        <w:t xml:space="preserve"> iki galo nesutvarkyta dokumentacija ir objektas dar neužregistruotas </w:t>
      </w:r>
      <w:r w:rsidR="007B1D66" w:rsidRPr="002726AC">
        <w:t>R</w:t>
      </w:r>
      <w:r w:rsidR="00ED5832" w:rsidRPr="002726AC">
        <w:t>egistrų centre.</w:t>
      </w:r>
    </w:p>
    <w:p w:rsidR="00ED5832" w:rsidRPr="002726AC" w:rsidRDefault="00ED5832" w:rsidP="007B1D66">
      <w:pPr>
        <w:ind w:firstLine="1134"/>
        <w:jc w:val="both"/>
      </w:pPr>
      <w:r w:rsidRPr="002726AC">
        <w:t>Įsigyti</w:t>
      </w:r>
      <w:r w:rsidR="00FA4D84" w:rsidRPr="002726AC">
        <w:t>:</w:t>
      </w:r>
      <w:r w:rsidRPr="002726AC">
        <w:t xml:space="preserve"> naujas </w:t>
      </w:r>
      <w:r w:rsidR="00712EAB" w:rsidRPr="002726AC">
        <w:t xml:space="preserve">teleskopinis </w:t>
      </w:r>
      <w:proofErr w:type="spellStart"/>
      <w:r w:rsidR="00A92B97" w:rsidRPr="002726AC">
        <w:t>autokrautuvas</w:t>
      </w:r>
      <w:proofErr w:type="spellEnd"/>
      <w:r w:rsidRPr="002726AC">
        <w:t xml:space="preserve"> (lizingu) ir dėvėtas savivartis automobilis. Šios transporto priemonės reikalingos biokuro pakrovimui ir transportavimui po kaimo katilines bei biokuro stumdymui katilinėje Nr.</w:t>
      </w:r>
      <w:r w:rsidR="002726AC">
        <w:t xml:space="preserve"> </w:t>
      </w:r>
      <w:r w:rsidRPr="002726AC">
        <w:t>2.</w:t>
      </w:r>
      <w:r w:rsidR="00FF346C" w:rsidRPr="002726AC">
        <w:t xml:space="preserve"> Šias investicijas t</w:t>
      </w:r>
      <w:r w:rsidR="003A1CEA" w:rsidRPr="002726AC">
        <w:t xml:space="preserve">urėjome atlikti vykdant </w:t>
      </w:r>
      <w:r w:rsidR="00A92B97" w:rsidRPr="002726AC">
        <w:t xml:space="preserve">LR Energijos išteklių rinkos įstatymo </w:t>
      </w:r>
      <w:r w:rsidR="003A1CEA" w:rsidRPr="002726AC">
        <w:t>sąlygas</w:t>
      </w:r>
      <w:r w:rsidR="00FF346C" w:rsidRPr="002726AC">
        <w:t>, kad</w:t>
      </w:r>
      <w:r w:rsidR="007B1D66" w:rsidRPr="002726AC">
        <w:t>angi</w:t>
      </w:r>
      <w:r w:rsidR="00FF346C" w:rsidRPr="002726AC">
        <w:t xml:space="preserve"> </w:t>
      </w:r>
      <w:r w:rsidR="00A92B97" w:rsidRPr="002726AC">
        <w:t xml:space="preserve">nuo 2016 m. sausio 1 d. ir vėlesniais metais </w:t>
      </w:r>
      <w:r w:rsidR="00FF346C" w:rsidRPr="002726AC">
        <w:t>biokuras 100 procentu turi būti perkamas iš biokuro biržos „</w:t>
      </w:r>
      <w:proofErr w:type="spellStart"/>
      <w:r w:rsidR="00FF346C" w:rsidRPr="002726AC">
        <w:t>Baltpool</w:t>
      </w:r>
      <w:proofErr w:type="spellEnd"/>
      <w:r w:rsidR="00FF346C" w:rsidRPr="002726AC">
        <w:t>“</w:t>
      </w:r>
      <w:r w:rsidR="007B1D66" w:rsidRPr="002726AC">
        <w:t>,</w:t>
      </w:r>
      <w:r w:rsidR="00A92B97" w:rsidRPr="002726AC">
        <w:t xml:space="preserve"> vykdant </w:t>
      </w:r>
      <w:r w:rsidR="00FF346C" w:rsidRPr="002726AC">
        <w:t>„Kietojo biokuro apskaitos taisykles“</w:t>
      </w:r>
      <w:r w:rsidR="007B1D66" w:rsidRPr="002726AC">
        <w:t>.</w:t>
      </w:r>
    </w:p>
    <w:p w:rsidR="00AE36BB" w:rsidRPr="002726AC" w:rsidRDefault="00894FD7" w:rsidP="007B1D66">
      <w:pPr>
        <w:ind w:firstLine="1134"/>
        <w:jc w:val="both"/>
      </w:pPr>
      <w:r w:rsidRPr="002726AC">
        <w:t xml:space="preserve">Darbėnų katilinėje planuotos investicijos </w:t>
      </w:r>
      <w:r w:rsidR="00297D8D" w:rsidRPr="002726AC">
        <w:t xml:space="preserve">su </w:t>
      </w:r>
      <w:r w:rsidR="00197241" w:rsidRPr="002726AC">
        <w:t>Lietuvos aplinkos apsaugos investicijų fondo (</w:t>
      </w:r>
      <w:r w:rsidR="00297D8D" w:rsidRPr="002726AC">
        <w:t>LAAIF</w:t>
      </w:r>
      <w:r w:rsidR="00197241" w:rsidRPr="002726AC">
        <w:t>)</w:t>
      </w:r>
      <w:r w:rsidR="00297D8D" w:rsidRPr="002726AC">
        <w:t xml:space="preserve"> parama nebuvo vykdomos. Vykdėme du konkursus katilinės įrangos ir darbų pirkimui, kuriuos turėjome nutraukti dėl per didelių kainų. Rangovų pasiūlytos kainos</w:t>
      </w:r>
      <w:r w:rsidR="003C5BAE" w:rsidRPr="002726AC">
        <w:t xml:space="preserve"> skyrėsi daugiau nei 40 procentų nuo planuotų išlaidų pagal</w:t>
      </w:r>
      <w:r w:rsidR="00B86C41" w:rsidRPr="002726AC">
        <w:t xml:space="preserve"> patvirtintą </w:t>
      </w:r>
      <w:r w:rsidR="003C5BAE" w:rsidRPr="002726AC">
        <w:t>investicinį planą.</w:t>
      </w:r>
    </w:p>
    <w:p w:rsidR="007B1D66" w:rsidRPr="002726AC" w:rsidRDefault="007B1D66" w:rsidP="00BD27D1">
      <w:pPr>
        <w:jc w:val="both"/>
        <w:rPr>
          <w:noProof/>
        </w:rPr>
      </w:pPr>
    </w:p>
    <w:p w:rsidR="00BD27D1" w:rsidRPr="002726AC" w:rsidRDefault="00BD27D1" w:rsidP="007B1D66">
      <w:pPr>
        <w:jc w:val="center"/>
        <w:rPr>
          <w:b/>
          <w:noProof/>
        </w:rPr>
      </w:pPr>
      <w:r w:rsidRPr="002726AC">
        <w:rPr>
          <w:b/>
          <w:noProof/>
        </w:rPr>
        <w:t xml:space="preserve">Rizikos ir neapibrėžtumo </w:t>
      </w:r>
      <w:r w:rsidR="00AE36BB" w:rsidRPr="002726AC">
        <w:rPr>
          <w:b/>
          <w:noProof/>
        </w:rPr>
        <w:t>apib</w:t>
      </w:r>
      <w:r w:rsidR="00780BD1" w:rsidRPr="002726AC">
        <w:rPr>
          <w:b/>
          <w:noProof/>
        </w:rPr>
        <w:t>ū</w:t>
      </w:r>
      <w:r w:rsidRPr="002726AC">
        <w:rPr>
          <w:b/>
          <w:noProof/>
        </w:rPr>
        <w:t>dinimas</w:t>
      </w:r>
    </w:p>
    <w:p w:rsidR="00BD27D1" w:rsidRPr="002726AC" w:rsidRDefault="00BD27D1" w:rsidP="00BD27D1">
      <w:pPr>
        <w:jc w:val="both"/>
        <w:rPr>
          <w:noProof/>
        </w:rPr>
      </w:pPr>
    </w:p>
    <w:p w:rsidR="006A2A31" w:rsidRPr="002726AC" w:rsidRDefault="00FF6F3E" w:rsidP="007B1D66">
      <w:pPr>
        <w:ind w:firstLine="1134"/>
        <w:jc w:val="both"/>
        <w:rPr>
          <w:noProof/>
        </w:rPr>
      </w:pPr>
      <w:r w:rsidRPr="002726AC">
        <w:rPr>
          <w:noProof/>
        </w:rPr>
        <w:t>Beveik 80 procentų 2015</w:t>
      </w:r>
      <w:r w:rsidR="002807B5" w:rsidRPr="002726AC">
        <w:rPr>
          <w:noProof/>
        </w:rPr>
        <w:t xml:space="preserve"> metais šiluminės energijos gamybai sunaudot</w:t>
      </w:r>
      <w:r w:rsidR="003704ED" w:rsidRPr="002726AC">
        <w:rPr>
          <w:noProof/>
        </w:rPr>
        <w:t>o</w:t>
      </w:r>
      <w:r w:rsidR="002807B5" w:rsidRPr="002726AC">
        <w:rPr>
          <w:noProof/>
        </w:rPr>
        <w:t xml:space="preserve"> biokur</w:t>
      </w:r>
      <w:r w:rsidR="003704ED" w:rsidRPr="002726AC">
        <w:rPr>
          <w:noProof/>
        </w:rPr>
        <w:t>o</w:t>
      </w:r>
      <w:r w:rsidR="002807B5" w:rsidRPr="002726AC">
        <w:rPr>
          <w:noProof/>
        </w:rPr>
        <w:t xml:space="preserve"> buvo pirkta iš biokuro biržos „Bal</w:t>
      </w:r>
      <w:r w:rsidR="00884C6F" w:rsidRPr="002726AC">
        <w:rPr>
          <w:noProof/>
        </w:rPr>
        <w:t>t</w:t>
      </w:r>
      <w:r w:rsidR="002807B5" w:rsidRPr="002726AC">
        <w:rPr>
          <w:noProof/>
        </w:rPr>
        <w:t>pool“</w:t>
      </w:r>
      <w:r w:rsidR="0006119A" w:rsidRPr="002726AC">
        <w:rPr>
          <w:noProof/>
        </w:rPr>
        <w:t>.</w:t>
      </w:r>
      <w:r w:rsidR="00A96847" w:rsidRPr="002726AC">
        <w:rPr>
          <w:noProof/>
        </w:rPr>
        <w:t xml:space="preserve"> Vykdant pirkimus šioje biržoje</w:t>
      </w:r>
      <w:r w:rsidR="003704ED" w:rsidRPr="002726AC">
        <w:rPr>
          <w:noProof/>
        </w:rPr>
        <w:t>,</w:t>
      </w:r>
      <w:r w:rsidR="00A96847" w:rsidRPr="002726AC">
        <w:rPr>
          <w:noProof/>
        </w:rPr>
        <w:t xml:space="preserve"> kuro kainos labai skiriasi</w:t>
      </w:r>
      <w:r w:rsidR="003704ED" w:rsidRPr="002726AC">
        <w:rPr>
          <w:noProof/>
        </w:rPr>
        <w:t>,</w:t>
      </w:r>
      <w:r w:rsidR="00A96847" w:rsidRPr="002726AC">
        <w:rPr>
          <w:noProof/>
        </w:rPr>
        <w:t xml:space="preserve"> p</w:t>
      </w:r>
      <w:r w:rsidR="003704ED" w:rsidRPr="002726AC">
        <w:rPr>
          <w:noProof/>
        </w:rPr>
        <w:t>avyzdžiui,</w:t>
      </w:r>
      <w:r w:rsidR="00A96847" w:rsidRPr="002726AC">
        <w:rPr>
          <w:noProof/>
        </w:rPr>
        <w:t xml:space="preserve"> perkant šildymo sezono pradžioje ar viduryje</w:t>
      </w:r>
      <w:r w:rsidR="003704ED" w:rsidRPr="002726AC">
        <w:rPr>
          <w:noProof/>
        </w:rPr>
        <w:t>.</w:t>
      </w:r>
      <w:r w:rsidR="00A96847" w:rsidRPr="002726AC">
        <w:rPr>
          <w:noProof/>
        </w:rPr>
        <w:t xml:space="preserve"> </w:t>
      </w:r>
      <w:r w:rsidR="003704ED" w:rsidRPr="002726AC">
        <w:rPr>
          <w:noProof/>
        </w:rPr>
        <w:t>B</w:t>
      </w:r>
      <w:r w:rsidR="00A96847" w:rsidRPr="002726AC">
        <w:rPr>
          <w:noProof/>
        </w:rPr>
        <w:t>e to</w:t>
      </w:r>
      <w:r w:rsidR="003704ED" w:rsidRPr="002726AC">
        <w:rPr>
          <w:noProof/>
        </w:rPr>
        <w:t>,</w:t>
      </w:r>
      <w:r w:rsidR="00A96847" w:rsidRPr="002726AC">
        <w:rPr>
          <w:noProof/>
        </w:rPr>
        <w:t xml:space="preserve"> </w:t>
      </w:r>
      <w:r w:rsidR="000D41DE" w:rsidRPr="002726AC">
        <w:rPr>
          <w:noProof/>
        </w:rPr>
        <w:t>rizikinga pirkti ilgesniam laikui, ketvirčiui ar pusmečiui. Vykdant savaitinius pirkimus</w:t>
      </w:r>
      <w:r w:rsidR="003704ED" w:rsidRPr="002726AC">
        <w:rPr>
          <w:noProof/>
        </w:rPr>
        <w:t>,</w:t>
      </w:r>
      <w:r w:rsidR="000D41DE" w:rsidRPr="002726AC">
        <w:rPr>
          <w:noProof/>
        </w:rPr>
        <w:t xml:space="preserve"> biokurą galima nupirkti pigiau</w:t>
      </w:r>
      <w:r w:rsidR="00D33E22" w:rsidRPr="002726AC">
        <w:rPr>
          <w:noProof/>
        </w:rPr>
        <w:t xml:space="preserve">, bet tai negarantuoja, kad jo </w:t>
      </w:r>
      <w:r w:rsidR="00884C6F" w:rsidRPr="002726AC">
        <w:rPr>
          <w:noProof/>
        </w:rPr>
        <w:t>pasiūla bus patenkinta pagal planuojamus pirkimus ir poreikius ir</w:t>
      </w:r>
      <w:r w:rsidR="003704ED" w:rsidRPr="002726AC">
        <w:rPr>
          <w:noProof/>
        </w:rPr>
        <w:t>,</w:t>
      </w:r>
      <w:r w:rsidR="00D33E22" w:rsidRPr="002726AC">
        <w:rPr>
          <w:noProof/>
        </w:rPr>
        <w:t xml:space="preserve"> ar užteks  šildymo sezon</w:t>
      </w:r>
      <w:r w:rsidR="00CC6A89" w:rsidRPr="002726AC">
        <w:rPr>
          <w:noProof/>
        </w:rPr>
        <w:t>o metu.</w:t>
      </w:r>
      <w:r w:rsidR="00D33E22" w:rsidRPr="002726AC">
        <w:rPr>
          <w:noProof/>
        </w:rPr>
        <w:t xml:space="preserve"> Jei rinkos poreikius atitinka pasiūlos ir paklausos santykis</w:t>
      </w:r>
      <w:r w:rsidR="007E722A" w:rsidRPr="002726AC">
        <w:rPr>
          <w:noProof/>
        </w:rPr>
        <w:t>, tai kuro kainos nesikeičia.</w:t>
      </w:r>
      <w:r w:rsidR="00D33E22" w:rsidRPr="002726AC">
        <w:rPr>
          <w:noProof/>
        </w:rPr>
        <w:t xml:space="preserve"> </w:t>
      </w:r>
      <w:r w:rsidR="007E722A" w:rsidRPr="002726AC">
        <w:rPr>
          <w:noProof/>
        </w:rPr>
        <w:t>Perkant ilgesniam laikotarpiui</w:t>
      </w:r>
      <w:r w:rsidR="003704ED" w:rsidRPr="002726AC">
        <w:rPr>
          <w:noProof/>
        </w:rPr>
        <w:t>,</w:t>
      </w:r>
      <w:r w:rsidR="007E722A" w:rsidRPr="002726AC">
        <w:rPr>
          <w:noProof/>
        </w:rPr>
        <w:t xml:space="preserve"> būtina tiksliai įvertinti lauko oro temperatūr</w:t>
      </w:r>
      <w:r w:rsidR="003704ED" w:rsidRPr="002726AC">
        <w:rPr>
          <w:noProof/>
        </w:rPr>
        <w:t>ą</w:t>
      </w:r>
      <w:r w:rsidR="007E722A" w:rsidRPr="002726AC">
        <w:rPr>
          <w:noProof/>
        </w:rPr>
        <w:t>, o tai padaryti labai sunku</w:t>
      </w:r>
      <w:r w:rsidR="003704ED" w:rsidRPr="002726AC">
        <w:rPr>
          <w:noProof/>
        </w:rPr>
        <w:t>.</w:t>
      </w:r>
      <w:r w:rsidR="007E722A" w:rsidRPr="002726AC">
        <w:rPr>
          <w:noProof/>
        </w:rPr>
        <w:t xml:space="preserve"> </w:t>
      </w:r>
      <w:r w:rsidR="003704ED" w:rsidRPr="002726AC">
        <w:rPr>
          <w:noProof/>
        </w:rPr>
        <w:t>D</w:t>
      </w:r>
      <w:r w:rsidR="007E722A" w:rsidRPr="002726AC">
        <w:rPr>
          <w:noProof/>
        </w:rPr>
        <w:t>ėl</w:t>
      </w:r>
      <w:r w:rsidRPr="002726AC">
        <w:rPr>
          <w:noProof/>
        </w:rPr>
        <w:t xml:space="preserve"> to atsiranda nemaža rizika, kaip</w:t>
      </w:r>
      <w:r w:rsidR="007E722A" w:rsidRPr="002726AC">
        <w:rPr>
          <w:noProof/>
        </w:rPr>
        <w:t xml:space="preserve"> nupirktą kurą efektyviau, greičiau sudeginti, jo nesandėliuojant ilgesniam laikui.</w:t>
      </w:r>
    </w:p>
    <w:p w:rsidR="00AE36BB" w:rsidRPr="002726AC" w:rsidRDefault="00CC6A89" w:rsidP="003704ED">
      <w:pPr>
        <w:ind w:firstLine="1134"/>
        <w:jc w:val="both"/>
        <w:rPr>
          <w:noProof/>
        </w:rPr>
      </w:pPr>
      <w:r w:rsidRPr="002726AC">
        <w:rPr>
          <w:noProof/>
        </w:rPr>
        <w:t>Kilus ginčui</w:t>
      </w:r>
      <w:r w:rsidR="007A4079" w:rsidRPr="002726AC">
        <w:rPr>
          <w:noProof/>
        </w:rPr>
        <w:t xml:space="preserve"> su biokuro tiekėju</w:t>
      </w:r>
      <w:r w:rsidR="00884C6F" w:rsidRPr="002726AC">
        <w:rPr>
          <w:noProof/>
        </w:rPr>
        <w:t xml:space="preserve"> (kol buvo biokuras dar perkamas ne iš biokuro biržos)</w:t>
      </w:r>
      <w:r w:rsidR="007A4079" w:rsidRPr="002726AC">
        <w:rPr>
          <w:noProof/>
        </w:rPr>
        <w:t xml:space="preserve"> dėl kainų peržiūrėjimo</w:t>
      </w:r>
      <w:r w:rsidR="003704ED" w:rsidRPr="002726AC">
        <w:rPr>
          <w:noProof/>
        </w:rPr>
        <w:t>,</w:t>
      </w:r>
      <w:r w:rsidR="007A4079" w:rsidRPr="002726AC">
        <w:rPr>
          <w:noProof/>
        </w:rPr>
        <w:t xml:space="preserve"> t</w:t>
      </w:r>
      <w:r w:rsidR="003704ED" w:rsidRPr="002726AC">
        <w:rPr>
          <w:noProof/>
        </w:rPr>
        <w:t xml:space="preserve">ai </w:t>
      </w:r>
      <w:r w:rsidR="007A4079" w:rsidRPr="002726AC">
        <w:rPr>
          <w:noProof/>
        </w:rPr>
        <w:t>y</w:t>
      </w:r>
      <w:r w:rsidR="003704ED" w:rsidRPr="002726AC">
        <w:rPr>
          <w:noProof/>
        </w:rPr>
        <w:t>ra,</w:t>
      </w:r>
      <w:r w:rsidR="007A4079" w:rsidRPr="002726AC">
        <w:rPr>
          <w:noProof/>
        </w:rPr>
        <w:t xml:space="preserve"> dėl jų neatikimo susidariusio skirtumo</w:t>
      </w:r>
      <w:r w:rsidRPr="002726AC">
        <w:rPr>
          <w:noProof/>
        </w:rPr>
        <w:t>,</w:t>
      </w:r>
      <w:r w:rsidR="007A4079" w:rsidRPr="002726AC">
        <w:rPr>
          <w:noProof/>
        </w:rPr>
        <w:t xml:space="preserve"> bendrovei pavyko 2015</w:t>
      </w:r>
      <w:r w:rsidRPr="002726AC">
        <w:rPr>
          <w:noProof/>
        </w:rPr>
        <w:t>-</w:t>
      </w:r>
      <w:r w:rsidR="007A4079" w:rsidRPr="002726AC">
        <w:rPr>
          <w:noProof/>
        </w:rPr>
        <w:t>11</w:t>
      </w:r>
      <w:r w:rsidRPr="002726AC">
        <w:rPr>
          <w:noProof/>
        </w:rPr>
        <w:t>-</w:t>
      </w:r>
      <w:r w:rsidR="007A4079" w:rsidRPr="002726AC">
        <w:rPr>
          <w:noProof/>
        </w:rPr>
        <w:t>04 pasirašyti susitarimą, kad šalys nutraukia 2013</w:t>
      </w:r>
      <w:r w:rsidR="00DB1C05" w:rsidRPr="002726AC">
        <w:rPr>
          <w:noProof/>
        </w:rPr>
        <w:t>-</w:t>
      </w:r>
      <w:r w:rsidR="007A4079" w:rsidRPr="002726AC">
        <w:rPr>
          <w:noProof/>
        </w:rPr>
        <w:t>04</w:t>
      </w:r>
      <w:r w:rsidR="00DB1C05" w:rsidRPr="002726AC">
        <w:rPr>
          <w:noProof/>
        </w:rPr>
        <w:t>-</w:t>
      </w:r>
      <w:r w:rsidR="007A4079" w:rsidRPr="002726AC">
        <w:rPr>
          <w:noProof/>
        </w:rPr>
        <w:t>09</w:t>
      </w:r>
      <w:r w:rsidR="00264D88" w:rsidRPr="002726AC">
        <w:rPr>
          <w:noProof/>
        </w:rPr>
        <w:t xml:space="preserve"> pasirašytą b</w:t>
      </w:r>
      <w:r w:rsidR="007A4079" w:rsidRPr="002726AC">
        <w:rPr>
          <w:noProof/>
        </w:rPr>
        <w:t>iokuro tiekimo sutartį</w:t>
      </w:r>
      <w:r w:rsidR="003704ED" w:rsidRPr="002726AC">
        <w:rPr>
          <w:noProof/>
        </w:rPr>
        <w:t>,</w:t>
      </w:r>
      <w:r w:rsidR="00333252" w:rsidRPr="002726AC">
        <w:rPr>
          <w:noProof/>
        </w:rPr>
        <w:t xml:space="preserve"> </w:t>
      </w:r>
      <w:r w:rsidR="003704ED" w:rsidRPr="002726AC">
        <w:rPr>
          <w:noProof/>
        </w:rPr>
        <w:t>tuo</w:t>
      </w:r>
      <w:r w:rsidR="00333252" w:rsidRPr="002726AC">
        <w:rPr>
          <w:noProof/>
        </w:rPr>
        <w:t xml:space="preserve"> patvirtin</w:t>
      </w:r>
      <w:r w:rsidR="003704ED" w:rsidRPr="002726AC">
        <w:rPr>
          <w:noProof/>
        </w:rPr>
        <w:t>ant</w:t>
      </w:r>
      <w:r w:rsidR="00333252" w:rsidRPr="002726AC">
        <w:rPr>
          <w:noProof/>
        </w:rPr>
        <w:t>, kad „Pirkėjas“ yra visiškai atsiskaitęs</w:t>
      </w:r>
      <w:r w:rsidR="00024B1B" w:rsidRPr="002726AC">
        <w:rPr>
          <w:noProof/>
        </w:rPr>
        <w:t xml:space="preserve"> su „Pardavėju“ už  pagal sutartį patiektą biokurą.</w:t>
      </w:r>
    </w:p>
    <w:p w:rsidR="00191824" w:rsidRPr="002726AC" w:rsidRDefault="00191824" w:rsidP="00274743">
      <w:pPr>
        <w:jc w:val="both"/>
      </w:pPr>
    </w:p>
    <w:p w:rsidR="00274743" w:rsidRPr="002726AC" w:rsidRDefault="00274743" w:rsidP="00191824">
      <w:pPr>
        <w:jc w:val="center"/>
        <w:rPr>
          <w:b/>
          <w:noProof/>
        </w:rPr>
      </w:pPr>
      <w:r w:rsidRPr="002726AC">
        <w:rPr>
          <w:b/>
          <w:noProof/>
        </w:rPr>
        <w:t>Personalas</w:t>
      </w:r>
    </w:p>
    <w:p w:rsidR="000C1F10" w:rsidRPr="002726AC" w:rsidRDefault="000C1F10" w:rsidP="000C1F10">
      <w:pPr>
        <w:jc w:val="both"/>
        <w:rPr>
          <w:noProof/>
        </w:rPr>
      </w:pPr>
    </w:p>
    <w:p w:rsidR="000C1F10" w:rsidRPr="002726AC" w:rsidRDefault="000C1F10" w:rsidP="003704ED">
      <w:pPr>
        <w:ind w:firstLine="1134"/>
        <w:jc w:val="both"/>
      </w:pPr>
      <w:r w:rsidRPr="002726AC">
        <w:tab/>
        <w:t xml:space="preserve">2015 metų gruodžio 31 d. bendrovėje dirbo 78 darbuotojai, vidutinis 2015 metų darbuotojų skaičius - 70. Darbuotojų kaita 2015 metais: </w:t>
      </w:r>
      <w:r w:rsidR="002726AC">
        <w:t>priimti 35 darbuotojai, atleista</w:t>
      </w:r>
      <w:r w:rsidRPr="002726AC">
        <w:t xml:space="preserve"> – 31. Darbuotojų kaita susijusi su darbo sezoniškumu (prasidedant ir pasibaigiant šildymo sezonui). 2</w:t>
      </w:r>
      <w:r w:rsidR="002726AC">
        <w:t>015 metais atleisti 5 pensinio</w:t>
      </w:r>
      <w:r w:rsidRPr="002726AC">
        <w:t xml:space="preserve"> amžiaus darbuotojai, kuriems išmokėta išeitinė išmoka atitinkamai pagal darbo stažą bendrovėje. Per 2015 metus bendrovėje įsteigtas 1 laboranto etatas katilinėje </w:t>
      </w:r>
      <w:r w:rsidRPr="00442C6B">
        <w:t>Nr.</w:t>
      </w:r>
      <w:r w:rsidR="00442C6B" w:rsidRPr="00442C6B">
        <w:t xml:space="preserve"> 2</w:t>
      </w:r>
      <w:r w:rsidRPr="00442C6B">
        <w:t xml:space="preserve">, </w:t>
      </w:r>
      <w:r w:rsidRPr="002726AC">
        <w:t>Melioratorių g. 10, Kretinga.</w:t>
      </w:r>
    </w:p>
    <w:p w:rsidR="000C1F10" w:rsidRPr="002726AC" w:rsidRDefault="000C1F10" w:rsidP="003704ED">
      <w:pPr>
        <w:ind w:firstLine="1134"/>
        <w:jc w:val="both"/>
      </w:pPr>
      <w:r w:rsidRPr="002726AC">
        <w:rPr>
          <w:noProof/>
        </w:rPr>
        <w:tab/>
        <w:t xml:space="preserve">Vadovaujančių darbuotojų ir specialistų išsilavinimas, kvalifikacija ir kompetencija atitinka keliamus reikalavimus. Per 2015 metus 22 darbuotojai vyko į seminarus: viešųjų pirkimų organizavimo; darbo kodekso pakeitimų; biokuro plėtros; biokuro apskaitos taisyklių pasikeitimai; katilinių įrangos; biokuro katilinių eksploatacijos ir priežiūros; daugiabučių namų šildymo ir karšto vandens sistemų priežiūros; darbų saugos; statinių priežiūros techniniai ir praktiniai aspektai ir </w:t>
      </w:r>
      <w:r w:rsidR="003704ED" w:rsidRPr="002726AC">
        <w:rPr>
          <w:noProof/>
        </w:rPr>
        <w:t>kitomis</w:t>
      </w:r>
      <w:r w:rsidRPr="002726AC">
        <w:rPr>
          <w:noProof/>
        </w:rPr>
        <w:t xml:space="preserve"> bendrovei aktualiomis temomis. 4 darbuotojai buvo siųsti į mokymus ir įsigijo „Darbuotojai, valdantys šilumos punktus ir karšto vandens sistemas“ kvalifikacinius pažymėjimus, 1 darbuotojas pekvalifikuotas katilinės meistru; </w:t>
      </w:r>
      <w:r w:rsidRPr="002726AC">
        <w:t>1 darbuotojas</w:t>
      </w:r>
      <w:r w:rsidRPr="002726AC">
        <w:rPr>
          <w:noProof/>
        </w:rPr>
        <w:t xml:space="preserve"> buvo siunčiamas įsigyti suvirintojo elektra ir dujomis kvalifikaciją</w:t>
      </w:r>
      <w:r w:rsidRPr="002726AC">
        <w:t>.</w:t>
      </w:r>
    </w:p>
    <w:p w:rsidR="000C1F10" w:rsidRPr="002726AC" w:rsidRDefault="000C1F10" w:rsidP="003704ED">
      <w:pPr>
        <w:ind w:firstLine="1134"/>
        <w:jc w:val="both"/>
        <w:rPr>
          <w:noProof/>
        </w:rPr>
      </w:pPr>
      <w:r w:rsidRPr="002726AC">
        <w:t xml:space="preserve">Darbo užmokestis skaičiuojamas laikantis teisės aktų reikalavimų: apmokama už viršvalandžius, darbą nakties metu, poilsio ir švenčių dienomis. </w:t>
      </w:r>
      <w:r w:rsidR="00091F2F" w:rsidRPr="002726AC">
        <w:t>Darbuotojams, dirbantiems bendrovėje ir gaunantiems minimalią mėnesinę algą, nuo 2015-07-01 Vyriausybės nutarimu patvirtinta 350 eurų minimali mėnesinė</w:t>
      </w:r>
      <w:r w:rsidR="00F108B3" w:rsidRPr="002726AC">
        <w:t xml:space="preserve"> a</w:t>
      </w:r>
      <w:r w:rsidR="00091F2F" w:rsidRPr="002726AC">
        <w:t>lga. Kitiems bendrovės darbuotojams</w:t>
      </w:r>
      <w:r w:rsidRPr="002726AC">
        <w:t xml:space="preserve"> atlyginimai 2015 metais nebuvo didinam</w:t>
      </w:r>
      <w:r w:rsidR="00CC6A89" w:rsidRPr="002726AC">
        <w:t>i</w:t>
      </w:r>
      <w:r w:rsidRPr="002726AC">
        <w:t>.</w:t>
      </w:r>
    </w:p>
    <w:p w:rsidR="000C1F10" w:rsidRPr="002726AC" w:rsidRDefault="000C1F10" w:rsidP="00345B10">
      <w:pPr>
        <w:ind w:firstLine="1134"/>
        <w:jc w:val="both"/>
      </w:pPr>
      <w:r w:rsidRPr="002726AC">
        <w:t xml:space="preserve">Bendrovės darbuotojų vidutinis darbo užmokestis 2015 metais </w:t>
      </w:r>
      <w:r w:rsidR="003D559F" w:rsidRPr="002726AC">
        <w:t>-</w:t>
      </w:r>
      <w:r w:rsidRPr="002726AC">
        <w:t xml:space="preserve"> 658 eurai.</w:t>
      </w:r>
    </w:p>
    <w:p w:rsidR="00191824" w:rsidRPr="002726AC" w:rsidRDefault="00191824" w:rsidP="00191824">
      <w:pPr>
        <w:jc w:val="both"/>
        <w:rPr>
          <w:noProof/>
        </w:rPr>
      </w:pPr>
    </w:p>
    <w:p w:rsidR="000F2177" w:rsidRPr="002726AC" w:rsidRDefault="000F2177" w:rsidP="00191824">
      <w:pPr>
        <w:ind w:firstLine="708"/>
        <w:jc w:val="center"/>
        <w:rPr>
          <w:b/>
        </w:rPr>
      </w:pPr>
      <w:r w:rsidRPr="002726AC">
        <w:rPr>
          <w:b/>
        </w:rPr>
        <w:t>Veiklos rezultatų vertinimo rodikliai</w:t>
      </w:r>
    </w:p>
    <w:p w:rsidR="000F2177" w:rsidRPr="002726AC" w:rsidRDefault="000F2177" w:rsidP="000F2177">
      <w:pPr>
        <w:rPr>
          <w:b/>
        </w:rPr>
      </w:pPr>
    </w:p>
    <w:p w:rsidR="000F2177" w:rsidRPr="002726AC" w:rsidRDefault="000F2177" w:rsidP="00345B10">
      <w:pPr>
        <w:ind w:firstLine="1134"/>
        <w:jc w:val="both"/>
        <w:rPr>
          <w:noProof/>
        </w:rPr>
      </w:pPr>
      <w:r w:rsidRPr="002726AC">
        <w:rPr>
          <w:noProof/>
        </w:rPr>
        <w:t>Vadovaujantis Kretingos rajono savivaldybės a</w:t>
      </w:r>
      <w:r w:rsidR="00F43653" w:rsidRPr="002726AC">
        <w:rPr>
          <w:noProof/>
        </w:rPr>
        <w:t>dministracijos direktoriaus 2015</w:t>
      </w:r>
      <w:r w:rsidR="00592395" w:rsidRPr="002726AC">
        <w:rPr>
          <w:noProof/>
        </w:rPr>
        <w:t>-</w:t>
      </w:r>
      <w:r w:rsidRPr="002726AC">
        <w:rPr>
          <w:noProof/>
        </w:rPr>
        <w:t>0</w:t>
      </w:r>
      <w:r w:rsidR="00F43653" w:rsidRPr="002726AC">
        <w:rPr>
          <w:noProof/>
        </w:rPr>
        <w:t>4</w:t>
      </w:r>
      <w:r w:rsidR="00592395" w:rsidRPr="002726AC">
        <w:rPr>
          <w:noProof/>
        </w:rPr>
        <w:t>-</w:t>
      </w:r>
      <w:r w:rsidR="00F43653" w:rsidRPr="002726AC">
        <w:rPr>
          <w:noProof/>
        </w:rPr>
        <w:t>03</w:t>
      </w:r>
      <w:r w:rsidRPr="002726AC">
        <w:rPr>
          <w:noProof/>
        </w:rPr>
        <w:t xml:space="preserve"> įsakymu Nr.</w:t>
      </w:r>
      <w:r w:rsidR="00780BD1" w:rsidRPr="002726AC">
        <w:rPr>
          <w:noProof/>
        </w:rPr>
        <w:t xml:space="preserve"> </w:t>
      </w:r>
      <w:r w:rsidR="00F43653" w:rsidRPr="002726AC">
        <w:rPr>
          <w:noProof/>
        </w:rPr>
        <w:t>A</w:t>
      </w:r>
      <w:r w:rsidR="00345B10" w:rsidRPr="002726AC">
        <w:rPr>
          <w:noProof/>
          <w:lang w:val="en-US"/>
        </w:rPr>
        <w:t>1</w:t>
      </w:r>
      <w:r w:rsidR="00F43653" w:rsidRPr="002726AC">
        <w:rPr>
          <w:noProof/>
        </w:rPr>
        <w:t xml:space="preserve"> – 233</w:t>
      </w:r>
      <w:r w:rsidR="00044909" w:rsidRPr="002726AC">
        <w:rPr>
          <w:noProof/>
        </w:rPr>
        <w:t xml:space="preserve"> „</w:t>
      </w:r>
      <w:r w:rsidRPr="002726AC">
        <w:rPr>
          <w:noProof/>
        </w:rPr>
        <w:t>Dėl</w:t>
      </w:r>
      <w:r w:rsidR="00F43653" w:rsidRPr="002726AC">
        <w:rPr>
          <w:noProof/>
        </w:rPr>
        <w:t xml:space="preserve"> 2013-06-09 įsakymo Nr.</w:t>
      </w:r>
      <w:r w:rsidR="00345B10" w:rsidRPr="002726AC">
        <w:rPr>
          <w:noProof/>
        </w:rPr>
        <w:t xml:space="preserve"> </w:t>
      </w:r>
      <w:r w:rsidR="00F43653" w:rsidRPr="002726AC">
        <w:rPr>
          <w:noProof/>
        </w:rPr>
        <w:t>A1-518 „Dėl</w:t>
      </w:r>
      <w:r w:rsidRPr="002726AC">
        <w:rPr>
          <w:noProof/>
        </w:rPr>
        <w:t xml:space="preserve"> savivaldybės įmonių ir savivaldybės kontroliuojamų už</w:t>
      </w:r>
      <w:r w:rsidR="0084053F" w:rsidRPr="002726AC">
        <w:rPr>
          <w:noProof/>
        </w:rPr>
        <w:t>darųjų akcinių bendrovių vadovų</w:t>
      </w:r>
      <w:r w:rsidRPr="002726AC">
        <w:rPr>
          <w:noProof/>
        </w:rPr>
        <w:t>, jų pavaduotojų ir vyriausiųjų buhalterių darbo apmokėjimo tvarkos“</w:t>
      </w:r>
      <w:r w:rsidR="00F43653" w:rsidRPr="002726AC">
        <w:rPr>
          <w:noProof/>
        </w:rPr>
        <w:t xml:space="preserve"> pakeitimo</w:t>
      </w:r>
      <w:r w:rsidR="00345B10" w:rsidRPr="002726AC">
        <w:rPr>
          <w:noProof/>
        </w:rPr>
        <w:t>“</w:t>
      </w:r>
      <w:r w:rsidR="00F43653" w:rsidRPr="002726AC">
        <w:rPr>
          <w:noProof/>
        </w:rPr>
        <w:t xml:space="preserve"> </w:t>
      </w:r>
      <w:r w:rsidRPr="002726AC">
        <w:rPr>
          <w:noProof/>
        </w:rPr>
        <w:t>ir remiantis UAB Kretingos šilumos tinklų eilinio visu</w:t>
      </w:r>
      <w:r w:rsidR="00323483" w:rsidRPr="002726AC">
        <w:rPr>
          <w:noProof/>
        </w:rPr>
        <w:t>otino akcininkų susirinkimo 2015</w:t>
      </w:r>
      <w:r w:rsidR="0084053F" w:rsidRPr="002726AC">
        <w:rPr>
          <w:noProof/>
        </w:rPr>
        <w:t>-</w:t>
      </w:r>
      <w:r w:rsidRPr="002726AC">
        <w:rPr>
          <w:noProof/>
        </w:rPr>
        <w:t>04</w:t>
      </w:r>
      <w:r w:rsidR="0084053F" w:rsidRPr="002726AC">
        <w:rPr>
          <w:noProof/>
        </w:rPr>
        <w:t>-</w:t>
      </w:r>
      <w:r w:rsidR="00323483" w:rsidRPr="002726AC">
        <w:rPr>
          <w:noProof/>
        </w:rPr>
        <w:t>30</w:t>
      </w:r>
      <w:r w:rsidRPr="002726AC">
        <w:rPr>
          <w:noProof/>
        </w:rPr>
        <w:t xml:space="preserve">  protokolu Nr.</w:t>
      </w:r>
      <w:r w:rsidR="00044909" w:rsidRPr="002726AC">
        <w:rPr>
          <w:noProof/>
        </w:rPr>
        <w:t xml:space="preserve"> </w:t>
      </w:r>
      <w:r w:rsidRPr="002726AC">
        <w:rPr>
          <w:noProof/>
        </w:rPr>
        <w:t>1</w:t>
      </w:r>
      <w:r w:rsidR="00345B10" w:rsidRPr="002726AC">
        <w:rPr>
          <w:noProof/>
        </w:rPr>
        <w:t>,</w:t>
      </w:r>
      <w:r w:rsidRPr="002726AC">
        <w:rPr>
          <w:noProof/>
        </w:rPr>
        <w:t xml:space="preserve"> nustatyti v</w:t>
      </w:r>
      <w:r w:rsidR="00323483" w:rsidRPr="002726AC">
        <w:rPr>
          <w:noProof/>
        </w:rPr>
        <w:t>eiklos vertinimo rodikliai 2015</w:t>
      </w:r>
      <w:r w:rsidRPr="002726AC">
        <w:rPr>
          <w:noProof/>
        </w:rPr>
        <w:t xml:space="preserve"> metų rezultatams vertinti:</w:t>
      </w:r>
    </w:p>
    <w:p w:rsidR="000F2177" w:rsidRPr="002726AC" w:rsidRDefault="000F2177" w:rsidP="00345B10">
      <w:pPr>
        <w:numPr>
          <w:ilvl w:val="0"/>
          <w:numId w:val="3"/>
        </w:numPr>
        <w:tabs>
          <w:tab w:val="clear" w:pos="900"/>
          <w:tab w:val="num" w:pos="0"/>
        </w:tabs>
        <w:ind w:left="0" w:firstLine="1134"/>
        <w:jc w:val="both"/>
        <w:rPr>
          <w:noProof/>
        </w:rPr>
      </w:pPr>
      <w:r w:rsidRPr="002726AC">
        <w:rPr>
          <w:noProof/>
        </w:rPr>
        <w:lastRenderedPageBreak/>
        <w:t>UAB Kretingos šilumos tinklų veikla pe</w:t>
      </w:r>
      <w:r w:rsidR="00323483" w:rsidRPr="002726AC">
        <w:rPr>
          <w:noProof/>
        </w:rPr>
        <w:t>lninga. Numatytas pelnas už 2015</w:t>
      </w:r>
      <w:r w:rsidRPr="002726AC">
        <w:rPr>
          <w:noProof/>
        </w:rPr>
        <w:t xml:space="preserve"> metus ne </w:t>
      </w:r>
      <w:r w:rsidR="00323483" w:rsidRPr="002726AC">
        <w:rPr>
          <w:noProof/>
        </w:rPr>
        <w:t>mažiau kaip 56</w:t>
      </w:r>
      <w:r w:rsidRPr="002726AC">
        <w:rPr>
          <w:noProof/>
        </w:rPr>
        <w:t xml:space="preserve"> tū</w:t>
      </w:r>
      <w:r w:rsidR="00323483" w:rsidRPr="002726AC">
        <w:rPr>
          <w:noProof/>
        </w:rPr>
        <w:t>kst. Eur</w:t>
      </w:r>
      <w:r w:rsidR="0084053F" w:rsidRPr="002726AC">
        <w:rPr>
          <w:noProof/>
        </w:rPr>
        <w:t>. Šis rodiklis</w:t>
      </w:r>
      <w:r w:rsidR="00323483" w:rsidRPr="002726AC">
        <w:rPr>
          <w:noProof/>
        </w:rPr>
        <w:t xml:space="preserve"> ne</w:t>
      </w:r>
      <w:r w:rsidR="0084053F" w:rsidRPr="002726AC">
        <w:rPr>
          <w:noProof/>
        </w:rPr>
        <w:t xml:space="preserve">įvykdytas, </w:t>
      </w:r>
      <w:r w:rsidR="00323483" w:rsidRPr="002726AC">
        <w:rPr>
          <w:noProof/>
        </w:rPr>
        <w:t>2015</w:t>
      </w:r>
      <w:r w:rsidR="002B5E4B" w:rsidRPr="002726AC">
        <w:rPr>
          <w:noProof/>
        </w:rPr>
        <w:t xml:space="preserve"> metais patirtas nuostolis 3</w:t>
      </w:r>
      <w:r w:rsidR="00947248" w:rsidRPr="002726AC">
        <w:rPr>
          <w:noProof/>
        </w:rPr>
        <w:t>9,2</w:t>
      </w:r>
      <w:r w:rsidR="002B5E4B" w:rsidRPr="002726AC">
        <w:rPr>
          <w:noProof/>
        </w:rPr>
        <w:t xml:space="preserve"> tūkst. Eur.</w:t>
      </w:r>
    </w:p>
    <w:p w:rsidR="000F2177" w:rsidRPr="002726AC" w:rsidRDefault="000F2177" w:rsidP="00345B10">
      <w:pPr>
        <w:numPr>
          <w:ilvl w:val="0"/>
          <w:numId w:val="3"/>
        </w:numPr>
        <w:tabs>
          <w:tab w:val="clear" w:pos="900"/>
          <w:tab w:val="num" w:pos="0"/>
        </w:tabs>
        <w:ind w:left="0" w:firstLine="1134"/>
        <w:jc w:val="both"/>
        <w:rPr>
          <w:noProof/>
        </w:rPr>
      </w:pPr>
      <w:r w:rsidRPr="002726AC">
        <w:rPr>
          <w:noProof/>
        </w:rPr>
        <w:t>UAB Kretingos šilumos tinklų šilumos gamybai sunaudoto kuro kiekyje biokuras sudaryt</w:t>
      </w:r>
      <w:r w:rsidR="002B5E4B" w:rsidRPr="002726AC">
        <w:rPr>
          <w:noProof/>
        </w:rPr>
        <w:t>ų ne mažiau kaip 84</w:t>
      </w:r>
      <w:r w:rsidR="00044909" w:rsidRPr="002726AC">
        <w:rPr>
          <w:noProof/>
        </w:rPr>
        <w:t xml:space="preserve"> </w:t>
      </w:r>
      <w:r w:rsidR="0084053F" w:rsidRPr="002726AC">
        <w:rPr>
          <w:noProof/>
        </w:rPr>
        <w:t>%</w:t>
      </w:r>
      <w:r w:rsidRPr="002726AC">
        <w:rPr>
          <w:noProof/>
        </w:rPr>
        <w:t>. Šis rodiklis įvykdytas</w:t>
      </w:r>
      <w:r w:rsidR="0084053F" w:rsidRPr="002726AC">
        <w:rPr>
          <w:noProof/>
        </w:rPr>
        <w:t xml:space="preserve">, </w:t>
      </w:r>
      <w:r w:rsidR="002B5E4B" w:rsidRPr="002726AC">
        <w:rPr>
          <w:noProof/>
        </w:rPr>
        <w:t>2015</w:t>
      </w:r>
      <w:r w:rsidRPr="002726AC">
        <w:rPr>
          <w:noProof/>
        </w:rPr>
        <w:t xml:space="preserve"> metais naudojamo kuro kieky</w:t>
      </w:r>
      <w:r w:rsidR="002B5E4B" w:rsidRPr="002726AC">
        <w:rPr>
          <w:noProof/>
        </w:rPr>
        <w:t xml:space="preserve">je biokuras </w:t>
      </w:r>
      <w:r w:rsidR="00886358" w:rsidRPr="002726AC">
        <w:rPr>
          <w:noProof/>
        </w:rPr>
        <w:t xml:space="preserve">(medienos atliekos) </w:t>
      </w:r>
      <w:r w:rsidR="002B5E4B" w:rsidRPr="002726AC">
        <w:rPr>
          <w:noProof/>
        </w:rPr>
        <w:t>sudarė 8</w:t>
      </w:r>
      <w:r w:rsidR="00886358" w:rsidRPr="002726AC">
        <w:rPr>
          <w:noProof/>
        </w:rPr>
        <w:t>5</w:t>
      </w:r>
      <w:r w:rsidR="002B5E4B" w:rsidRPr="002726AC">
        <w:rPr>
          <w:noProof/>
        </w:rPr>
        <w:t>,</w:t>
      </w:r>
      <w:r w:rsidR="00886358" w:rsidRPr="002726AC">
        <w:rPr>
          <w:noProof/>
        </w:rPr>
        <w:t>2</w:t>
      </w:r>
      <w:r w:rsidR="00044909" w:rsidRPr="002726AC">
        <w:rPr>
          <w:noProof/>
        </w:rPr>
        <w:t xml:space="preserve"> </w:t>
      </w:r>
      <w:r w:rsidRPr="002726AC">
        <w:rPr>
          <w:noProof/>
        </w:rPr>
        <w:t>%.</w:t>
      </w:r>
    </w:p>
    <w:p w:rsidR="000F2177" w:rsidRPr="002726AC" w:rsidRDefault="002B5E4B" w:rsidP="00345B10">
      <w:pPr>
        <w:numPr>
          <w:ilvl w:val="0"/>
          <w:numId w:val="3"/>
        </w:numPr>
        <w:tabs>
          <w:tab w:val="clear" w:pos="900"/>
          <w:tab w:val="num" w:pos="0"/>
        </w:tabs>
        <w:ind w:left="0" w:firstLine="1134"/>
        <w:jc w:val="both"/>
        <w:rPr>
          <w:noProof/>
        </w:rPr>
      </w:pPr>
      <w:r w:rsidRPr="002726AC">
        <w:rPr>
          <w:noProof/>
        </w:rPr>
        <w:t>Atlikti 2015</w:t>
      </w:r>
      <w:r w:rsidR="000F2177" w:rsidRPr="002726AC">
        <w:rPr>
          <w:noProof/>
        </w:rPr>
        <w:t xml:space="preserve"> metų investiciniame plane numatytas investicijas. Investiciniame plane iš numatytų 12 priemonių įvykdyta 10. Neįvykdyta Darbėnų katilinės 0,5 M</w:t>
      </w:r>
      <w:r w:rsidR="0084053F" w:rsidRPr="002726AC">
        <w:rPr>
          <w:noProof/>
        </w:rPr>
        <w:t>Wh</w:t>
      </w:r>
      <w:r w:rsidR="000F2177" w:rsidRPr="002726AC">
        <w:rPr>
          <w:noProof/>
        </w:rPr>
        <w:t xml:space="preserve"> kieto kuro katilo su kuro padavimo įra</w:t>
      </w:r>
      <w:r w:rsidR="00E078B9" w:rsidRPr="002726AC">
        <w:rPr>
          <w:noProof/>
        </w:rPr>
        <w:t>nga keitimas, nes LAAIF per 2015</w:t>
      </w:r>
      <w:r w:rsidR="000F2177" w:rsidRPr="002726AC">
        <w:rPr>
          <w:noProof/>
        </w:rPr>
        <w:t xml:space="preserve"> metus nesvarstė mūsų pateiktos paraiškos ir nes</w:t>
      </w:r>
      <w:r w:rsidR="00BF18C4" w:rsidRPr="002726AC">
        <w:rPr>
          <w:noProof/>
        </w:rPr>
        <w:t>kyrė lėšų projekto finansavimui (numatyta vykdyti tik gavus finansavimą).</w:t>
      </w:r>
      <w:r w:rsidR="000F2177" w:rsidRPr="002726AC">
        <w:rPr>
          <w:noProof/>
        </w:rPr>
        <w:t xml:space="preserve"> Taip pat</w:t>
      </w:r>
      <w:r w:rsidR="0084053F" w:rsidRPr="002726AC">
        <w:rPr>
          <w:noProof/>
        </w:rPr>
        <w:t xml:space="preserve">, </w:t>
      </w:r>
      <w:r w:rsidR="00E006CA" w:rsidRPr="002726AC">
        <w:rPr>
          <w:noProof/>
        </w:rPr>
        <w:t>pradėti bet nebaigti</w:t>
      </w:r>
      <w:r w:rsidR="00B86D05" w:rsidRPr="002726AC">
        <w:rPr>
          <w:noProof/>
        </w:rPr>
        <w:t xml:space="preserve"> </w:t>
      </w:r>
      <w:r w:rsidR="000F2177" w:rsidRPr="002726AC">
        <w:rPr>
          <w:noProof/>
        </w:rPr>
        <w:t>katilinėje Nr.</w:t>
      </w:r>
      <w:r w:rsidR="0084053F" w:rsidRPr="002726AC">
        <w:rPr>
          <w:noProof/>
        </w:rPr>
        <w:t xml:space="preserve"> </w:t>
      </w:r>
      <w:r w:rsidR="00E006CA" w:rsidRPr="002726AC">
        <w:rPr>
          <w:noProof/>
        </w:rPr>
        <w:t>2 naujos laboratorijos įrengimo darbai (šie darbai užbaigti 2016 metais).</w:t>
      </w:r>
    </w:p>
    <w:p w:rsidR="002B5E4B" w:rsidRPr="002726AC" w:rsidRDefault="002B5E4B" w:rsidP="00345B10">
      <w:pPr>
        <w:numPr>
          <w:ilvl w:val="0"/>
          <w:numId w:val="3"/>
        </w:numPr>
        <w:tabs>
          <w:tab w:val="clear" w:pos="900"/>
          <w:tab w:val="num" w:pos="0"/>
        </w:tabs>
        <w:ind w:left="0" w:firstLine="1134"/>
        <w:jc w:val="both"/>
        <w:rPr>
          <w:noProof/>
        </w:rPr>
      </w:pPr>
      <w:r w:rsidRPr="002726AC">
        <w:rPr>
          <w:noProof/>
        </w:rPr>
        <w:t>Šilumos trasų technologiniai nuostoliai ne didesni kaip 17</w:t>
      </w:r>
      <w:r w:rsidR="00345B10" w:rsidRPr="002726AC">
        <w:rPr>
          <w:noProof/>
        </w:rPr>
        <w:t xml:space="preserve"> </w:t>
      </w:r>
      <w:r w:rsidRPr="002726AC">
        <w:rPr>
          <w:noProof/>
        </w:rPr>
        <w:t>℅.</w:t>
      </w:r>
      <w:r w:rsidR="00886358" w:rsidRPr="002726AC">
        <w:rPr>
          <w:noProof/>
        </w:rPr>
        <w:t xml:space="preserve"> Šis rodiklis įvykdytas, šilumos trasų technologiniai nuostoliai sudaro 16,7</w:t>
      </w:r>
      <w:r w:rsidR="00345B10" w:rsidRPr="002726AC">
        <w:rPr>
          <w:noProof/>
        </w:rPr>
        <w:t xml:space="preserve"> </w:t>
      </w:r>
      <w:r w:rsidR="00886358" w:rsidRPr="002726AC">
        <w:rPr>
          <w:noProof/>
        </w:rPr>
        <w:t>℅.</w:t>
      </w:r>
    </w:p>
    <w:p w:rsidR="000F2177" w:rsidRPr="002726AC" w:rsidRDefault="000F2177" w:rsidP="000F2177">
      <w:pPr>
        <w:ind w:left="900"/>
        <w:jc w:val="both"/>
        <w:rPr>
          <w:noProof/>
        </w:rPr>
      </w:pPr>
    </w:p>
    <w:p w:rsidR="000F2177" w:rsidRPr="002726AC" w:rsidRDefault="000F2177" w:rsidP="00345B10">
      <w:pPr>
        <w:ind w:firstLine="1134"/>
        <w:jc w:val="both"/>
        <w:rPr>
          <w:noProof/>
        </w:rPr>
      </w:pPr>
      <w:r w:rsidRPr="002726AC">
        <w:rPr>
          <w:noProof/>
        </w:rPr>
        <w:t>Planuojam</w:t>
      </w:r>
      <w:r w:rsidR="0084053F" w:rsidRPr="002726AC">
        <w:rPr>
          <w:noProof/>
        </w:rPr>
        <w:t>ų</w:t>
      </w:r>
      <w:r w:rsidRPr="002726AC">
        <w:rPr>
          <w:noProof/>
        </w:rPr>
        <w:t xml:space="preserve"> veiklos rezultatų vertinimo rodikli</w:t>
      </w:r>
      <w:r w:rsidR="0084053F" w:rsidRPr="002726AC">
        <w:rPr>
          <w:noProof/>
        </w:rPr>
        <w:t>ų</w:t>
      </w:r>
      <w:r w:rsidR="00E078B9" w:rsidRPr="002726AC">
        <w:rPr>
          <w:noProof/>
        </w:rPr>
        <w:t xml:space="preserve"> 2016</w:t>
      </w:r>
      <w:r w:rsidRPr="002726AC">
        <w:rPr>
          <w:noProof/>
        </w:rPr>
        <w:t xml:space="preserve"> metams</w:t>
      </w:r>
      <w:r w:rsidR="0084053F" w:rsidRPr="002726AC">
        <w:rPr>
          <w:noProof/>
        </w:rPr>
        <w:t xml:space="preserve"> projektas:</w:t>
      </w:r>
    </w:p>
    <w:p w:rsidR="000F2177" w:rsidRPr="002726AC" w:rsidRDefault="000F2177" w:rsidP="000F2177">
      <w:pPr>
        <w:ind w:left="540"/>
        <w:jc w:val="both"/>
        <w:rPr>
          <w:noProof/>
        </w:rPr>
      </w:pPr>
    </w:p>
    <w:p w:rsidR="00651268" w:rsidRPr="002726AC" w:rsidRDefault="00651268" w:rsidP="00345B10">
      <w:pPr>
        <w:numPr>
          <w:ilvl w:val="0"/>
          <w:numId w:val="4"/>
        </w:numPr>
        <w:tabs>
          <w:tab w:val="clear" w:pos="900"/>
          <w:tab w:val="left" w:pos="0"/>
        </w:tabs>
        <w:ind w:left="0" w:firstLine="1134"/>
        <w:jc w:val="both"/>
        <w:rPr>
          <w:noProof/>
        </w:rPr>
      </w:pPr>
      <w:r w:rsidRPr="002726AC">
        <w:rPr>
          <w:noProof/>
        </w:rPr>
        <w:t>UAB Kretingos šilumos tinklų veikla pelninga. Numatytas p</w:t>
      </w:r>
      <w:r w:rsidR="00E078B9" w:rsidRPr="002726AC">
        <w:rPr>
          <w:noProof/>
        </w:rPr>
        <w:t>elnas iš tipinės veiklos už 2016</w:t>
      </w:r>
      <w:r w:rsidRPr="002726AC">
        <w:rPr>
          <w:noProof/>
        </w:rPr>
        <w:t xml:space="preserve"> m</w:t>
      </w:r>
      <w:r w:rsidR="00E078B9" w:rsidRPr="002726AC">
        <w:rPr>
          <w:noProof/>
        </w:rPr>
        <w:t>etus ne mažiau kaip 25</w:t>
      </w:r>
      <w:r w:rsidRPr="002726AC">
        <w:rPr>
          <w:noProof/>
        </w:rPr>
        <w:t xml:space="preserve"> tūkst. </w:t>
      </w:r>
      <w:r w:rsidR="00CC6A89" w:rsidRPr="002726AC">
        <w:rPr>
          <w:noProof/>
        </w:rPr>
        <w:t>e</w:t>
      </w:r>
      <w:r w:rsidRPr="002726AC">
        <w:rPr>
          <w:noProof/>
        </w:rPr>
        <w:t>ur</w:t>
      </w:r>
      <w:r w:rsidR="00CC6A89" w:rsidRPr="002726AC">
        <w:rPr>
          <w:noProof/>
        </w:rPr>
        <w:t>ų</w:t>
      </w:r>
      <w:r w:rsidR="009F5AC6" w:rsidRPr="002726AC">
        <w:rPr>
          <w:noProof/>
        </w:rPr>
        <w:t>,</w:t>
      </w:r>
      <w:r w:rsidR="00E078B9" w:rsidRPr="002726AC">
        <w:rPr>
          <w:noProof/>
        </w:rPr>
        <w:t xml:space="preserve"> </w:t>
      </w:r>
      <w:r w:rsidR="009F5AC6" w:rsidRPr="002726AC">
        <w:rPr>
          <w:noProof/>
        </w:rPr>
        <w:t>j</w:t>
      </w:r>
      <w:r w:rsidR="00AF739A" w:rsidRPr="002726AC">
        <w:rPr>
          <w:noProof/>
        </w:rPr>
        <w:t>ei realizacija ne mažesnė kaip nustatyta VKEKK bazinės kainos skaičiavimuose.</w:t>
      </w:r>
    </w:p>
    <w:p w:rsidR="000F2177" w:rsidRPr="002726AC" w:rsidRDefault="000F2177" w:rsidP="00345B10">
      <w:pPr>
        <w:numPr>
          <w:ilvl w:val="0"/>
          <w:numId w:val="4"/>
        </w:numPr>
        <w:tabs>
          <w:tab w:val="clear" w:pos="900"/>
          <w:tab w:val="num" w:pos="0"/>
        </w:tabs>
        <w:ind w:left="0" w:firstLine="1134"/>
        <w:jc w:val="both"/>
        <w:rPr>
          <w:noProof/>
        </w:rPr>
      </w:pPr>
      <w:r w:rsidRPr="002726AC">
        <w:rPr>
          <w:noProof/>
        </w:rPr>
        <w:t>UAB Kretingos šilumos tinklų šilumos gamybai sunaudoto kuro  kiekyje  biok</w:t>
      </w:r>
      <w:r w:rsidR="00E078B9" w:rsidRPr="002726AC">
        <w:rPr>
          <w:noProof/>
        </w:rPr>
        <w:t>uras sudar</w:t>
      </w:r>
      <w:r w:rsidR="00034371" w:rsidRPr="002726AC">
        <w:rPr>
          <w:noProof/>
        </w:rPr>
        <w:t>ytų ne mažiau kaip 84,2</w:t>
      </w:r>
      <w:r w:rsidRPr="002726AC">
        <w:rPr>
          <w:noProof/>
        </w:rPr>
        <w:t xml:space="preserve"> procentus.</w:t>
      </w:r>
    </w:p>
    <w:p w:rsidR="00AE36BB" w:rsidRPr="002726AC" w:rsidRDefault="00E078B9" w:rsidP="00345B10">
      <w:pPr>
        <w:numPr>
          <w:ilvl w:val="0"/>
          <w:numId w:val="4"/>
        </w:numPr>
        <w:tabs>
          <w:tab w:val="clear" w:pos="900"/>
          <w:tab w:val="num" w:pos="0"/>
        </w:tabs>
        <w:ind w:firstLine="234"/>
        <w:jc w:val="both"/>
        <w:rPr>
          <w:noProof/>
        </w:rPr>
      </w:pPr>
      <w:r w:rsidRPr="002726AC">
        <w:rPr>
          <w:noProof/>
        </w:rPr>
        <w:t>Atlikti 2016</w:t>
      </w:r>
      <w:r w:rsidR="000F2177" w:rsidRPr="002726AC">
        <w:rPr>
          <w:noProof/>
        </w:rPr>
        <w:t xml:space="preserve"> metų investiciniame plane suderintas investicijas.</w:t>
      </w:r>
    </w:p>
    <w:p w:rsidR="00537759" w:rsidRPr="002726AC" w:rsidRDefault="00651268" w:rsidP="00345B10">
      <w:pPr>
        <w:numPr>
          <w:ilvl w:val="0"/>
          <w:numId w:val="4"/>
        </w:numPr>
        <w:tabs>
          <w:tab w:val="clear" w:pos="900"/>
          <w:tab w:val="num" w:pos="0"/>
        </w:tabs>
        <w:ind w:left="0" w:firstLine="1134"/>
        <w:jc w:val="both"/>
        <w:rPr>
          <w:noProof/>
        </w:rPr>
      </w:pPr>
      <w:r w:rsidRPr="002726AC">
        <w:rPr>
          <w:noProof/>
        </w:rPr>
        <w:t>Šilumos trasų technologiniai nuostoli</w:t>
      </w:r>
      <w:r w:rsidR="00E078B9" w:rsidRPr="002726AC">
        <w:rPr>
          <w:noProof/>
        </w:rPr>
        <w:t>ai ne didesni kaip 16,</w:t>
      </w:r>
      <w:r w:rsidR="00BF18C4" w:rsidRPr="002726AC">
        <w:rPr>
          <w:noProof/>
        </w:rPr>
        <w:t>8</w:t>
      </w:r>
      <w:r w:rsidRPr="002726AC">
        <w:rPr>
          <w:noProof/>
        </w:rPr>
        <w:t xml:space="preserve"> % (kaip nustatyta bazinėje šilumos kainoje).</w:t>
      </w:r>
    </w:p>
    <w:p w:rsidR="00AE36BB" w:rsidRPr="002726AC" w:rsidRDefault="00AE36BB" w:rsidP="00537759">
      <w:pPr>
        <w:jc w:val="center"/>
        <w:rPr>
          <w:b/>
          <w:noProof/>
        </w:rPr>
      </w:pPr>
      <w:r w:rsidRPr="002726AC">
        <w:rPr>
          <w:b/>
          <w:noProof/>
        </w:rPr>
        <w:t>Įstatinio kapitalo pasikeitimas</w:t>
      </w:r>
    </w:p>
    <w:p w:rsidR="00345B10" w:rsidRPr="002726AC" w:rsidRDefault="00345B10" w:rsidP="00537759">
      <w:pPr>
        <w:jc w:val="center"/>
        <w:rPr>
          <w:b/>
          <w:noProof/>
        </w:rPr>
      </w:pPr>
    </w:p>
    <w:p w:rsidR="000F2177" w:rsidRPr="002726AC" w:rsidRDefault="00AE36BB" w:rsidP="00345B10">
      <w:pPr>
        <w:ind w:firstLine="1134"/>
        <w:jc w:val="both"/>
        <w:rPr>
          <w:noProof/>
        </w:rPr>
      </w:pPr>
      <w:r w:rsidRPr="002726AC">
        <w:rPr>
          <w:noProof/>
        </w:rPr>
        <w:t xml:space="preserve">Per ataskaitinį laikotarpį bendrovės įstatinis kapitalas </w:t>
      </w:r>
      <w:r w:rsidR="00CF20EB" w:rsidRPr="002726AC">
        <w:rPr>
          <w:noProof/>
        </w:rPr>
        <w:t>nepasikeitė.</w:t>
      </w:r>
    </w:p>
    <w:p w:rsidR="00326AF7" w:rsidRPr="002726AC" w:rsidRDefault="00326AF7" w:rsidP="00AE36BB">
      <w:pPr>
        <w:jc w:val="both"/>
        <w:rPr>
          <w:noProof/>
        </w:rPr>
      </w:pPr>
    </w:p>
    <w:p w:rsidR="00326AF7" w:rsidRPr="002726AC" w:rsidRDefault="00326AF7" w:rsidP="00326AF7">
      <w:pPr>
        <w:jc w:val="center"/>
        <w:rPr>
          <w:b/>
        </w:rPr>
      </w:pPr>
      <w:r w:rsidRPr="002726AC">
        <w:rPr>
          <w:b/>
        </w:rPr>
        <w:t>Finansiniai veiklos rezultatai</w:t>
      </w:r>
    </w:p>
    <w:p w:rsidR="003D559F" w:rsidRPr="002726AC" w:rsidRDefault="003D559F" w:rsidP="00326AF7">
      <w:pPr>
        <w:jc w:val="center"/>
      </w:pPr>
    </w:p>
    <w:p w:rsidR="003D559F" w:rsidRPr="002726AC" w:rsidRDefault="003D559F" w:rsidP="0073687C">
      <w:pPr>
        <w:ind w:firstLine="1134"/>
        <w:jc w:val="both"/>
      </w:pPr>
      <w:r w:rsidRPr="002726AC">
        <w:t xml:space="preserve">Bendrovės veikla </w:t>
      </w:r>
      <w:r w:rsidR="00EC312B" w:rsidRPr="002726AC">
        <w:t xml:space="preserve">2015 metais </w:t>
      </w:r>
      <w:r w:rsidRPr="002726AC">
        <w:t xml:space="preserve">buvo nuostolinga, </w:t>
      </w:r>
      <w:r w:rsidR="00EC312B" w:rsidRPr="002726AC">
        <w:t>patirta</w:t>
      </w:r>
      <w:r w:rsidRPr="002726AC">
        <w:t xml:space="preserve"> 39,2 tūkst.</w:t>
      </w:r>
      <w:r w:rsidR="00EC312B" w:rsidRPr="002726AC">
        <w:t xml:space="preserve"> e</w:t>
      </w:r>
      <w:r w:rsidRPr="002726AC">
        <w:t>ur</w:t>
      </w:r>
      <w:r w:rsidR="00EC312B" w:rsidRPr="002726AC">
        <w:t>ų</w:t>
      </w:r>
      <w:r w:rsidRPr="002726AC">
        <w:t xml:space="preserve"> nuostoli</w:t>
      </w:r>
      <w:r w:rsidR="00EC312B" w:rsidRPr="002726AC">
        <w:t>ų</w:t>
      </w:r>
      <w:r w:rsidRPr="002726AC">
        <w:t xml:space="preserve">. Iš tipinės veiklos (šilumos tiekimo) patyrė nuostolius 112,5 tūkst. eurų. Viena iš nuostolingos veiklos priežasčių – sumažėjusios pajamos. </w:t>
      </w:r>
      <w:r w:rsidR="00EC312B" w:rsidRPr="002726AC">
        <w:t xml:space="preserve">Iš </w:t>
      </w:r>
      <w:r w:rsidRPr="002726AC">
        <w:t>šilumos realizacijos priskaičiuota 26,2 tūkst.</w:t>
      </w:r>
      <w:r w:rsidR="00EC312B" w:rsidRPr="002726AC">
        <w:t xml:space="preserve"> e</w:t>
      </w:r>
      <w:r w:rsidRPr="002726AC">
        <w:t>ur</w:t>
      </w:r>
      <w:r w:rsidR="00EC312B" w:rsidRPr="002726AC">
        <w:t>ų</w:t>
      </w:r>
      <w:r w:rsidRPr="002726AC">
        <w:t xml:space="preserve"> mažiau</w:t>
      </w:r>
      <w:r w:rsidR="00EC312B" w:rsidRPr="002726AC">
        <w:t>,</w:t>
      </w:r>
      <w:r w:rsidRPr="002726AC">
        <w:t xml:space="preserve"> </w:t>
      </w:r>
      <w:r w:rsidR="00EC312B" w:rsidRPr="002726AC">
        <w:t>o</w:t>
      </w:r>
      <w:r w:rsidRPr="002726AC">
        <w:t xml:space="preserve"> dėl sumažėjusios šilumos kainos – 82 tūkst.</w:t>
      </w:r>
      <w:r w:rsidR="00EC312B" w:rsidRPr="002726AC">
        <w:t xml:space="preserve"> e</w:t>
      </w:r>
      <w:r w:rsidRPr="002726AC">
        <w:t>ur</w:t>
      </w:r>
      <w:r w:rsidR="00EC312B" w:rsidRPr="002726AC">
        <w:t>ų</w:t>
      </w:r>
      <w:r w:rsidRPr="002726AC">
        <w:t xml:space="preserve"> mažiau. 2015 m padidėjo bendrovės pastoviosios sąnaudos – darbo užmokesčio, ilgalaikio turto nusidėvėjimo, kuro kokybės tyrimo, abejotinų skolų sąnaudos. Dėl padidėjusios minimalios mėnesinės algos nuo 2015 m liepos 1</w:t>
      </w:r>
      <w:r w:rsidR="0073687C" w:rsidRPr="002726AC">
        <w:t xml:space="preserve"> d.</w:t>
      </w:r>
      <w:r w:rsidRPr="002726AC">
        <w:t xml:space="preserve"> ir nuo 2014 m spalio 1</w:t>
      </w:r>
      <w:r w:rsidR="0073687C" w:rsidRPr="002726AC">
        <w:t xml:space="preserve"> d.</w:t>
      </w:r>
      <w:r w:rsidRPr="002726AC">
        <w:t xml:space="preserve"> padidinto darbo užmokesčio darbuotojams bei išeitinių išmokų</w:t>
      </w:r>
      <w:r w:rsidR="0073687C" w:rsidRPr="002726AC">
        <w:t>,</w:t>
      </w:r>
      <w:r w:rsidRPr="002726AC">
        <w:t xml:space="preserve"> darbo užmokesčio sąnaudos padidėjo 21,9 tūkst.</w:t>
      </w:r>
      <w:r w:rsidR="00EC312B" w:rsidRPr="002726AC">
        <w:t xml:space="preserve"> </w:t>
      </w:r>
      <w:r w:rsidRPr="002726AC">
        <w:t>eurų. Ilgalaikio turto nusidėvėjimo sąnaudos padidėjo 15,4 tūkst.</w:t>
      </w:r>
      <w:r w:rsidR="00EC312B" w:rsidRPr="002726AC">
        <w:t xml:space="preserve"> e</w:t>
      </w:r>
      <w:r w:rsidRPr="002726AC">
        <w:t>ur</w:t>
      </w:r>
      <w:r w:rsidR="00EC312B" w:rsidRPr="002726AC">
        <w:t>ų</w:t>
      </w:r>
      <w:r w:rsidRPr="002726AC">
        <w:t xml:space="preserve"> dėl 2014 m pabaigoje įsigyto turto (katilinėje Nr.2 įsigyta svėrimo įranga, biokuro katilas, atnaujinti įrengimai katilinėje Nr.3). Vadovaujantis</w:t>
      </w:r>
      <w:r w:rsidR="00EC312B" w:rsidRPr="002726AC">
        <w:t xml:space="preserve"> kieto</w:t>
      </w:r>
      <w:r w:rsidRPr="002726AC">
        <w:t xml:space="preserve"> biokuro apskaitos taisyklėmis, bendrovė privalo atlikti perkamo biokuro kokybės rodiklių tyrimą, per 2015 metus buvo patirta 21,9 tūkst.</w:t>
      </w:r>
      <w:r w:rsidR="00D00CC0" w:rsidRPr="002726AC">
        <w:t xml:space="preserve"> e</w:t>
      </w:r>
      <w:r w:rsidRPr="002726AC">
        <w:t>ur</w:t>
      </w:r>
      <w:r w:rsidR="00D00CC0" w:rsidRPr="002726AC">
        <w:t>ų</w:t>
      </w:r>
      <w:r w:rsidRPr="002726AC">
        <w:t xml:space="preserve"> šių sąnaudų. Bendrovė, įvertinusi pirkėjų (šilumos vartotojų) skolas, 2015 m pabaigoje pripažino abejotinų skolų sąnaudomis 25,9 tūkst.</w:t>
      </w:r>
      <w:r w:rsidR="00D00CC0" w:rsidRPr="002726AC">
        <w:t xml:space="preserve"> </w:t>
      </w:r>
      <w:r w:rsidRPr="002726AC">
        <w:t>eurų pirkėjų skolų.</w:t>
      </w:r>
    </w:p>
    <w:p w:rsidR="003D559F" w:rsidRPr="002726AC" w:rsidRDefault="003D559F" w:rsidP="0073687C">
      <w:pPr>
        <w:ind w:firstLine="1134"/>
        <w:jc w:val="both"/>
      </w:pPr>
      <w:r w:rsidRPr="002726AC">
        <w:t>Bendrovės kita veikla – šildymo sistemų aptarnavimas, katilinių kaminų nuoma, bendrovės patalpų nuoma, ATL</w:t>
      </w:r>
      <w:r w:rsidR="00D00CC0" w:rsidRPr="002726AC">
        <w:t xml:space="preserve"> </w:t>
      </w:r>
      <w:r w:rsidRPr="002726AC">
        <w:t>(apyvartinių taršos leidimų) pardavimas. Iš kitos veiklos bendrovė 2015 m uždirbo pelno –78,9 tūkst.</w:t>
      </w:r>
      <w:r w:rsidR="00D00CC0" w:rsidRPr="002726AC">
        <w:t xml:space="preserve"> </w:t>
      </w:r>
      <w:r w:rsidRPr="002726AC">
        <w:t>eurų. Pelnas iš kitos veiklos susidarė dėl ATL pardavimo, pardavus ATL, gauta 97,8 tūkst.</w:t>
      </w:r>
      <w:r w:rsidR="00D00CC0" w:rsidRPr="002726AC">
        <w:t xml:space="preserve"> </w:t>
      </w:r>
      <w:r w:rsidRPr="002726AC">
        <w:t>eurų pajamų.</w:t>
      </w:r>
    </w:p>
    <w:p w:rsidR="003D559F" w:rsidRPr="002726AC" w:rsidRDefault="003D559F" w:rsidP="0073687C">
      <w:pPr>
        <w:ind w:firstLine="1134"/>
        <w:jc w:val="both"/>
      </w:pPr>
      <w:r w:rsidRPr="002726AC">
        <w:lastRenderedPageBreak/>
        <w:t>Bendrovės finansinė veikla nuostolinga dėl mokamų palūkanų bankams už paimtas paskolas projektų vykdymui. Per 2015 m sumokėta palūkanų 6,2 tūkst.</w:t>
      </w:r>
      <w:r w:rsidR="00D00CC0" w:rsidRPr="002726AC">
        <w:t xml:space="preserve"> e</w:t>
      </w:r>
      <w:r w:rsidRPr="002726AC">
        <w:t>ur</w:t>
      </w:r>
      <w:r w:rsidR="00D00CC0" w:rsidRPr="002726AC">
        <w:t>ų</w:t>
      </w:r>
      <w:r w:rsidRPr="002726AC">
        <w:t>, dėl akcijų vertės konvertavimo eurais bendrovė patyrė 2,9 tūkst.</w:t>
      </w:r>
      <w:r w:rsidR="00D00CC0" w:rsidRPr="002726AC">
        <w:t xml:space="preserve"> e</w:t>
      </w:r>
      <w:r w:rsidRPr="002726AC">
        <w:t>ur</w:t>
      </w:r>
      <w:r w:rsidR="00D00CC0" w:rsidRPr="002726AC">
        <w:t>ų</w:t>
      </w:r>
      <w:r w:rsidRPr="002726AC">
        <w:t xml:space="preserve"> sąnaudų.</w:t>
      </w:r>
    </w:p>
    <w:p w:rsidR="003D559F" w:rsidRPr="002726AC" w:rsidRDefault="003D559F" w:rsidP="0073687C">
      <w:pPr>
        <w:ind w:firstLine="1134"/>
        <w:jc w:val="both"/>
      </w:pPr>
      <w:r w:rsidRPr="002726AC">
        <w:t>Bendrovės visos mokėtinos sumos ir įsipareigojimai 2015 12 31 sudarė 873,2 tūkst.</w:t>
      </w:r>
      <w:r w:rsidR="00D00CC0" w:rsidRPr="002726AC">
        <w:t xml:space="preserve"> </w:t>
      </w:r>
      <w:r w:rsidRPr="002726AC">
        <w:t>eurų. Iš j</w:t>
      </w:r>
      <w:r w:rsidR="0073687C" w:rsidRPr="002726AC">
        <w:t>ų,</w:t>
      </w:r>
      <w:r w:rsidRPr="002726AC">
        <w:t xml:space="preserve"> mokėtina suma AB bankui „</w:t>
      </w:r>
      <w:proofErr w:type="spellStart"/>
      <w:r w:rsidRPr="002726AC">
        <w:t>Swedbank</w:t>
      </w:r>
      <w:proofErr w:type="spellEnd"/>
      <w:r w:rsidRPr="002726AC">
        <w:t xml:space="preserve">“ - 91,7 tūkst. </w:t>
      </w:r>
      <w:r w:rsidR="00D00CC0" w:rsidRPr="002726AC">
        <w:t>e</w:t>
      </w:r>
      <w:r w:rsidRPr="002726AC">
        <w:t>ur</w:t>
      </w:r>
      <w:r w:rsidR="00D00CC0" w:rsidRPr="002726AC">
        <w:t>ų</w:t>
      </w:r>
      <w:r w:rsidRPr="002726AC">
        <w:t xml:space="preserve">, skola Nordea </w:t>
      </w:r>
      <w:proofErr w:type="spellStart"/>
      <w:r w:rsidRPr="002726AC">
        <w:t>Bank</w:t>
      </w:r>
      <w:proofErr w:type="spellEnd"/>
      <w:r w:rsidRPr="002726AC">
        <w:t xml:space="preserve"> AB – 260,0 tūkst.</w:t>
      </w:r>
      <w:r w:rsidR="00D00CC0" w:rsidRPr="002726AC">
        <w:t xml:space="preserve"> </w:t>
      </w:r>
      <w:r w:rsidRPr="002726AC">
        <w:t xml:space="preserve">eurų. Paskolos paimtos </w:t>
      </w:r>
      <w:r w:rsidR="0073687C" w:rsidRPr="002726AC">
        <w:t>šilumos tiekimo sistemos modernizavimo projektų vykdymui.</w:t>
      </w:r>
    </w:p>
    <w:p w:rsidR="003D559F" w:rsidRPr="002726AC" w:rsidRDefault="002726AC" w:rsidP="0073687C">
      <w:pPr>
        <w:ind w:firstLine="1134"/>
        <w:jc w:val="both"/>
      </w:pPr>
      <w:r>
        <w:t>Bendrovės skolos tiekėjams 2015-12-</w:t>
      </w:r>
      <w:r w:rsidR="003D559F" w:rsidRPr="002726AC">
        <w:t>31 sudarė 360,7 tūkst.</w:t>
      </w:r>
      <w:r w:rsidR="00D00CC0" w:rsidRPr="002726AC">
        <w:t xml:space="preserve"> e</w:t>
      </w:r>
      <w:r w:rsidR="003D559F" w:rsidRPr="002726AC">
        <w:t>ur</w:t>
      </w:r>
      <w:r w:rsidR="00D00CC0" w:rsidRPr="002726AC">
        <w:t>ų</w:t>
      </w:r>
      <w:r w:rsidR="003D559F" w:rsidRPr="002726AC">
        <w:t xml:space="preserve">, tame </w:t>
      </w:r>
      <w:r w:rsidR="0073687C" w:rsidRPr="002726AC">
        <w:t>tarpe,</w:t>
      </w:r>
      <w:r w:rsidR="003D559F" w:rsidRPr="002726AC">
        <w:t xml:space="preserve"> už technologinį kurą – 153,7 tūkst. </w:t>
      </w:r>
      <w:r w:rsidR="0073687C" w:rsidRPr="002726AC">
        <w:t>e</w:t>
      </w:r>
      <w:r w:rsidR="003D559F" w:rsidRPr="002726AC">
        <w:t>ur</w:t>
      </w:r>
      <w:r w:rsidR="00D00CC0" w:rsidRPr="002726AC">
        <w:t>ų</w:t>
      </w:r>
      <w:r w:rsidR="0073687C" w:rsidRPr="002726AC">
        <w:t>,</w:t>
      </w:r>
      <w:r w:rsidR="003D559F" w:rsidRPr="002726AC">
        <w:t xml:space="preserve"> skola už žaliavas, medžiagas –14,2 tūkst. </w:t>
      </w:r>
      <w:r w:rsidR="00D00CC0" w:rsidRPr="002726AC">
        <w:t>e</w:t>
      </w:r>
      <w:r w:rsidR="003D559F" w:rsidRPr="002726AC">
        <w:t>ur</w:t>
      </w:r>
      <w:r w:rsidR="00D00CC0" w:rsidRPr="002726AC">
        <w:t>ų</w:t>
      </w:r>
      <w:r w:rsidR="003D559F" w:rsidRPr="002726AC">
        <w:t>, už suteiktas paslaugas – 192,8 tūkst. eurų. Bendrovės skolos tiekėjams – tai pateiktos sąskaitos už gruodžio mėnesį, kurių apmokėjimo terminas nėra pasibaigęs.</w:t>
      </w:r>
    </w:p>
    <w:p w:rsidR="000C1F10" w:rsidRPr="002726AC" w:rsidRDefault="003D559F" w:rsidP="0073687C">
      <w:pPr>
        <w:ind w:firstLine="1134"/>
        <w:jc w:val="both"/>
      </w:pPr>
      <w:r w:rsidRPr="002726AC">
        <w:t xml:space="preserve">Bendrovės pirkėjų (vartotojų) įsiskolinimas 2015 12 31 sudarė 314,1 tūkst. </w:t>
      </w:r>
      <w:r w:rsidR="00D00CC0" w:rsidRPr="002726AC">
        <w:t>e</w:t>
      </w:r>
      <w:r w:rsidRPr="002726AC">
        <w:t>ur</w:t>
      </w:r>
      <w:r w:rsidR="00D00CC0" w:rsidRPr="002726AC">
        <w:t>ų</w:t>
      </w:r>
      <w:r w:rsidRPr="002726AC">
        <w:t>, iš jų</w:t>
      </w:r>
      <w:r w:rsidR="0073687C" w:rsidRPr="002726AC">
        <w:t>,</w:t>
      </w:r>
      <w:r w:rsidRPr="002726AC">
        <w:t xml:space="preserve"> savivaldybės įstaigų įsiskolinimas – 35,6 tūkst. </w:t>
      </w:r>
      <w:r w:rsidR="00D00CC0" w:rsidRPr="002726AC">
        <w:t>e</w:t>
      </w:r>
      <w:r w:rsidRPr="002726AC">
        <w:t>ur</w:t>
      </w:r>
      <w:r w:rsidR="00D00CC0" w:rsidRPr="002726AC">
        <w:t>ų</w:t>
      </w:r>
      <w:r w:rsidRPr="002726AC">
        <w:t xml:space="preserve"> (skola 2014 12 31 – 101 tūkst</w:t>
      </w:r>
      <w:r w:rsidR="00D00CC0" w:rsidRPr="002726AC">
        <w:t>. e</w:t>
      </w:r>
      <w:r w:rsidRPr="002726AC">
        <w:t>ur</w:t>
      </w:r>
      <w:r w:rsidR="00D00CC0" w:rsidRPr="002726AC">
        <w:t>ų</w:t>
      </w:r>
      <w:r w:rsidRPr="002726AC">
        <w:t>). Abejotinų skolų suma 2015 12 31 sudaro 101,2 tūkst.</w:t>
      </w:r>
      <w:r w:rsidR="00D00CC0" w:rsidRPr="002726AC">
        <w:t xml:space="preserve"> </w:t>
      </w:r>
      <w:r w:rsidRPr="002726AC">
        <w:t>eurų</w:t>
      </w:r>
      <w:r w:rsidR="0073687C" w:rsidRPr="002726AC">
        <w:t>.</w:t>
      </w:r>
      <w:r w:rsidRPr="002726AC">
        <w:t xml:space="preserve"> Pirkėjų įsiskolinimas bendrovės balanse atvaizduotas be abejotinų skolų.</w:t>
      </w:r>
    </w:p>
    <w:p w:rsidR="00771580" w:rsidRPr="002726AC" w:rsidRDefault="00AE36BB" w:rsidP="00771580">
      <w:pPr>
        <w:jc w:val="center"/>
        <w:rPr>
          <w:b/>
          <w:noProof/>
        </w:rPr>
      </w:pPr>
      <w:r w:rsidRPr="002726AC">
        <w:rPr>
          <w:b/>
          <w:noProof/>
        </w:rPr>
        <w:t>Išvados</w:t>
      </w:r>
    </w:p>
    <w:p w:rsidR="0073687C" w:rsidRPr="002726AC" w:rsidRDefault="0073687C" w:rsidP="00771580">
      <w:pPr>
        <w:jc w:val="center"/>
        <w:rPr>
          <w:b/>
          <w:noProof/>
        </w:rPr>
      </w:pPr>
    </w:p>
    <w:p w:rsidR="00CC0CE4" w:rsidRPr="002726AC" w:rsidRDefault="00CC0CE4" w:rsidP="0073687C">
      <w:pPr>
        <w:ind w:firstLine="1134"/>
        <w:jc w:val="both"/>
        <w:rPr>
          <w:noProof/>
          <w:lang w:eastAsia="lt-LT"/>
        </w:rPr>
      </w:pPr>
      <w:r w:rsidRPr="002726AC">
        <w:rPr>
          <w:noProof/>
          <w:lang w:eastAsia="lt-LT"/>
        </w:rPr>
        <w:t>Pagrindinis bendrovės tikslas - mažinti gaminamos šiluminės energijos kainą. Jau treti metai, kaip mažėja vidutinė šilumos kaina</w:t>
      </w:r>
      <w:r w:rsidR="0073687C" w:rsidRPr="002726AC">
        <w:rPr>
          <w:noProof/>
          <w:lang w:eastAsia="lt-LT"/>
        </w:rPr>
        <w:t>.</w:t>
      </w:r>
      <w:r w:rsidRPr="002726AC">
        <w:rPr>
          <w:noProof/>
          <w:lang w:eastAsia="lt-LT"/>
        </w:rPr>
        <w:t xml:space="preserve"> </w:t>
      </w:r>
      <w:r w:rsidR="0073687C" w:rsidRPr="002726AC">
        <w:rPr>
          <w:noProof/>
          <w:lang w:eastAsia="lt-LT"/>
        </w:rPr>
        <w:t>Š</w:t>
      </w:r>
      <w:r w:rsidRPr="002726AC">
        <w:rPr>
          <w:noProof/>
          <w:lang w:eastAsia="lt-LT"/>
        </w:rPr>
        <w:t>iais metais kaina mažėjo 0,22 ct/kWh. Dėl ekonomaizerio įtakos, papildomai gauto peln</w:t>
      </w:r>
      <w:r w:rsidR="00CC6A89" w:rsidRPr="002726AC">
        <w:rPr>
          <w:noProof/>
          <w:lang w:eastAsia="lt-LT"/>
        </w:rPr>
        <w:t>o</w:t>
      </w:r>
      <w:r w:rsidRPr="002726AC">
        <w:rPr>
          <w:noProof/>
          <w:lang w:eastAsia="lt-LT"/>
        </w:rPr>
        <w:t xml:space="preserve"> dalimi (0,26 ct/kWh), nuo 2015 m. kovo mėn</w:t>
      </w:r>
      <w:r w:rsidR="0073687C" w:rsidRPr="002726AC">
        <w:rPr>
          <w:noProof/>
          <w:lang w:eastAsia="lt-LT"/>
        </w:rPr>
        <w:t>esio</w:t>
      </w:r>
      <w:r w:rsidRPr="002726AC">
        <w:rPr>
          <w:noProof/>
          <w:lang w:eastAsia="lt-LT"/>
        </w:rPr>
        <w:t xml:space="preserve"> buvo sumažinta šilu</w:t>
      </w:r>
      <w:r w:rsidR="0073687C" w:rsidRPr="002726AC">
        <w:rPr>
          <w:noProof/>
          <w:lang w:eastAsia="lt-LT"/>
        </w:rPr>
        <w:t>mos kainos pastovioji dedamoji.</w:t>
      </w:r>
    </w:p>
    <w:p w:rsidR="00CC0CE4" w:rsidRPr="002726AC" w:rsidRDefault="00CC0CE4" w:rsidP="0073687C">
      <w:pPr>
        <w:ind w:firstLine="1134"/>
        <w:jc w:val="both"/>
        <w:rPr>
          <w:noProof/>
          <w:lang w:eastAsia="lt-LT"/>
        </w:rPr>
      </w:pPr>
      <w:r w:rsidRPr="002726AC">
        <w:rPr>
          <w:noProof/>
          <w:lang w:eastAsia="lt-LT"/>
        </w:rPr>
        <w:t>Sumažėjus elektros energijos suvartojimui ir jos kainai sutaupėme 7,3 tūkst. Eur.</w:t>
      </w:r>
    </w:p>
    <w:p w:rsidR="00844201" w:rsidRPr="002726AC" w:rsidRDefault="00844201" w:rsidP="0073687C">
      <w:pPr>
        <w:ind w:firstLine="1134"/>
        <w:jc w:val="both"/>
        <w:rPr>
          <w:noProof/>
          <w:lang w:eastAsia="lt-LT"/>
        </w:rPr>
      </w:pPr>
      <w:r w:rsidRPr="002726AC">
        <w:rPr>
          <w:noProof/>
          <w:lang w:eastAsia="lt-LT"/>
        </w:rPr>
        <w:t>Dėl naujos biokuro pirkimo tvarkos</w:t>
      </w:r>
      <w:r w:rsidR="00D9433B" w:rsidRPr="002726AC">
        <w:rPr>
          <w:noProof/>
          <w:lang w:eastAsia="lt-LT"/>
        </w:rPr>
        <w:t xml:space="preserve"> </w:t>
      </w:r>
      <w:r w:rsidRPr="002726AC">
        <w:rPr>
          <w:noProof/>
          <w:lang w:eastAsia="lt-LT"/>
        </w:rPr>
        <w:t>reikalavimų</w:t>
      </w:r>
      <w:r w:rsidR="00D9433B" w:rsidRPr="002726AC">
        <w:rPr>
          <w:noProof/>
          <w:lang w:eastAsia="lt-LT"/>
        </w:rPr>
        <w:t xml:space="preserve"> biokuras dideliais kiekiais yra perkamas iš biržos. </w:t>
      </w:r>
      <w:r w:rsidR="00563146" w:rsidRPr="002726AC">
        <w:rPr>
          <w:noProof/>
          <w:lang w:eastAsia="lt-LT"/>
        </w:rPr>
        <w:t>Nupirkti reikiamą kuro kiekį</w:t>
      </w:r>
      <w:r w:rsidR="00D9433B" w:rsidRPr="002726AC">
        <w:rPr>
          <w:noProof/>
          <w:lang w:eastAsia="lt-LT"/>
        </w:rPr>
        <w:t xml:space="preserve"> mažoms katilinėms ir su aukštesniais kokybės reikalavimais labai sudėtinga,</w:t>
      </w:r>
      <w:r w:rsidR="00563146" w:rsidRPr="002726AC">
        <w:rPr>
          <w:noProof/>
          <w:lang w:eastAsia="lt-LT"/>
        </w:rPr>
        <w:t xml:space="preserve"> o jo sukaupti</w:t>
      </w:r>
      <w:r w:rsidR="004E3E18" w:rsidRPr="002726AC">
        <w:rPr>
          <w:noProof/>
          <w:lang w:eastAsia="lt-LT"/>
        </w:rPr>
        <w:t>, sandėliuoti nėra kur.</w:t>
      </w:r>
      <w:r w:rsidR="00D9433B" w:rsidRPr="002726AC">
        <w:rPr>
          <w:noProof/>
          <w:lang w:eastAsia="lt-LT"/>
        </w:rPr>
        <w:t xml:space="preserve"> </w:t>
      </w:r>
      <w:r w:rsidR="004E3E18" w:rsidRPr="002726AC">
        <w:rPr>
          <w:noProof/>
          <w:lang w:eastAsia="lt-LT"/>
        </w:rPr>
        <w:t>T</w:t>
      </w:r>
      <w:r w:rsidR="00D9433B" w:rsidRPr="002726AC">
        <w:rPr>
          <w:noProof/>
          <w:lang w:eastAsia="lt-LT"/>
        </w:rPr>
        <w:t>odėl</w:t>
      </w:r>
      <w:r w:rsidR="004E3E18" w:rsidRPr="002726AC">
        <w:rPr>
          <w:noProof/>
          <w:lang w:eastAsia="lt-LT"/>
        </w:rPr>
        <w:t xml:space="preserve"> būtina a</w:t>
      </w:r>
      <w:r w:rsidR="00E70D5F" w:rsidRPr="002726AC">
        <w:rPr>
          <w:noProof/>
          <w:lang w:eastAsia="lt-LT"/>
        </w:rPr>
        <w:t>tnaujinti kuro sandėlio statybą</w:t>
      </w:r>
      <w:r w:rsidR="004E3E18" w:rsidRPr="002726AC">
        <w:rPr>
          <w:noProof/>
          <w:lang w:eastAsia="lt-LT"/>
        </w:rPr>
        <w:t xml:space="preserve"> artimiausiais metais įtraukiant į investicinį planą.</w:t>
      </w:r>
      <w:r w:rsidR="00D9433B" w:rsidRPr="002726AC">
        <w:rPr>
          <w:noProof/>
          <w:lang w:eastAsia="lt-LT"/>
        </w:rPr>
        <w:t xml:space="preserve"> </w:t>
      </w:r>
    </w:p>
    <w:p w:rsidR="00563146" w:rsidRPr="002726AC" w:rsidRDefault="00563146" w:rsidP="0073687C">
      <w:pPr>
        <w:ind w:firstLine="1134"/>
        <w:jc w:val="both"/>
        <w:rPr>
          <w:noProof/>
          <w:lang w:eastAsia="lt-LT"/>
        </w:rPr>
      </w:pPr>
    </w:p>
    <w:p w:rsidR="001F5B22" w:rsidRPr="002726AC" w:rsidRDefault="00AE36BB" w:rsidP="00771580">
      <w:pPr>
        <w:jc w:val="center"/>
        <w:rPr>
          <w:b/>
          <w:noProof/>
        </w:rPr>
      </w:pPr>
      <w:r w:rsidRPr="002726AC">
        <w:rPr>
          <w:b/>
          <w:noProof/>
        </w:rPr>
        <w:t>Veiklos planai ir prognozės</w:t>
      </w:r>
    </w:p>
    <w:p w:rsidR="001F5B22" w:rsidRPr="002726AC" w:rsidRDefault="001F5B22" w:rsidP="00A37C9B">
      <w:pPr>
        <w:ind w:firstLine="567"/>
        <w:jc w:val="both"/>
        <w:rPr>
          <w:noProof/>
        </w:rPr>
      </w:pPr>
    </w:p>
    <w:p w:rsidR="00A37C9B" w:rsidRPr="002726AC" w:rsidRDefault="00145854" w:rsidP="00563146">
      <w:pPr>
        <w:ind w:firstLine="1134"/>
        <w:jc w:val="both"/>
        <w:rPr>
          <w:noProof/>
        </w:rPr>
      </w:pPr>
      <w:r w:rsidRPr="002726AC">
        <w:rPr>
          <w:noProof/>
        </w:rPr>
        <w:t>Bendrovė sėkmingai vykdė 2013</w:t>
      </w:r>
      <w:r w:rsidR="00D00534" w:rsidRPr="002726AC">
        <w:rPr>
          <w:noProof/>
        </w:rPr>
        <w:t>–2016 metų investicinį planą</w:t>
      </w:r>
      <w:r w:rsidR="00563146" w:rsidRPr="002726AC">
        <w:rPr>
          <w:noProof/>
        </w:rPr>
        <w:t>.</w:t>
      </w:r>
      <w:r w:rsidR="000F1924" w:rsidRPr="002726AC">
        <w:t xml:space="preserve"> </w:t>
      </w:r>
      <w:r w:rsidR="00563146" w:rsidRPr="002726AC">
        <w:t>U</w:t>
      </w:r>
      <w:r w:rsidR="000F1924" w:rsidRPr="002726AC">
        <w:t>žbaigta naujo</w:t>
      </w:r>
      <w:r w:rsidR="00102FCB" w:rsidRPr="002726AC">
        <w:t xml:space="preserve"> dūmtr</w:t>
      </w:r>
      <w:r w:rsidR="00D00534" w:rsidRPr="002726AC">
        <w:t>aukio statyb</w:t>
      </w:r>
      <w:r w:rsidR="00563146" w:rsidRPr="002726AC">
        <w:t>a</w:t>
      </w:r>
      <w:r w:rsidR="00D00534" w:rsidRPr="002726AC">
        <w:t xml:space="preserve"> katilinė</w:t>
      </w:r>
      <w:r w:rsidR="00102FCB" w:rsidRPr="002726AC">
        <w:t>je</w:t>
      </w:r>
      <w:r w:rsidR="00D00534" w:rsidRPr="002726AC">
        <w:t xml:space="preserve"> Nr</w:t>
      </w:r>
      <w:r w:rsidR="00102FCB" w:rsidRPr="002726AC">
        <w:t xml:space="preserve">. </w:t>
      </w:r>
      <w:r w:rsidR="00D00534" w:rsidRPr="002726AC">
        <w:t>2</w:t>
      </w:r>
      <w:r w:rsidR="00102FCB" w:rsidRPr="002726AC">
        <w:t>.</w:t>
      </w:r>
      <w:r w:rsidR="00D00534" w:rsidRPr="002726AC">
        <w:t xml:space="preserve"> </w:t>
      </w:r>
      <w:r w:rsidR="00B86D05" w:rsidRPr="002726AC">
        <w:t>P</w:t>
      </w:r>
      <w:r w:rsidR="00330745" w:rsidRPr="002726AC">
        <w:t>lanuotus</w:t>
      </w:r>
      <w:r w:rsidR="00D00534" w:rsidRPr="002726AC">
        <w:t xml:space="preserve"> atnaujinti pagrindinius </w:t>
      </w:r>
      <w:proofErr w:type="spellStart"/>
      <w:r w:rsidR="00D00534" w:rsidRPr="002726AC">
        <w:t>kvartalinius</w:t>
      </w:r>
      <w:proofErr w:type="spellEnd"/>
      <w:r w:rsidR="00D00534" w:rsidRPr="002726AC">
        <w:t xml:space="preserve"> šilumos tinklus</w:t>
      </w:r>
      <w:r w:rsidR="00102FCB" w:rsidRPr="002726AC">
        <w:t xml:space="preserve"> </w:t>
      </w:r>
      <w:r w:rsidR="00D00534" w:rsidRPr="002726AC">
        <w:t>2015 metais</w:t>
      </w:r>
      <w:r w:rsidR="00330745" w:rsidRPr="002726AC">
        <w:t xml:space="preserve"> teks perkelti į 2016 – 2017 metus, nes kvietimai teikti paraiškas buvo paskelbti tik 2016 m. sausio mėn. Prie investiciniame plane numatytų atnaujinti atkarpų (</w:t>
      </w:r>
      <w:r w:rsidR="00D00534" w:rsidRPr="002726AC">
        <w:t xml:space="preserve"> nuo katilinės Nr.</w:t>
      </w:r>
      <w:r w:rsidR="00102FCB" w:rsidRPr="002726AC">
        <w:t xml:space="preserve"> </w:t>
      </w:r>
      <w:r w:rsidR="00D00534" w:rsidRPr="002726AC">
        <w:t xml:space="preserve">2 iki daugiabučio namo Vytauto g. 119, ilgis - 474 metrai, sąmatinė vertė - </w:t>
      </w:r>
      <w:r w:rsidR="00060B3E" w:rsidRPr="002726AC">
        <w:t>180</w:t>
      </w:r>
      <w:r w:rsidR="00D00534" w:rsidRPr="002726AC">
        <w:t xml:space="preserve"> tūkst. </w:t>
      </w:r>
      <w:r w:rsidR="00060B3E" w:rsidRPr="002726AC">
        <w:t>eurų</w:t>
      </w:r>
      <w:r w:rsidR="00D00534" w:rsidRPr="002726AC">
        <w:t xml:space="preserve"> </w:t>
      </w:r>
      <w:r w:rsidR="00330745" w:rsidRPr="002726AC">
        <w:t>ir</w:t>
      </w:r>
      <w:r w:rsidR="00D00534" w:rsidRPr="002726AC">
        <w:t xml:space="preserve"> magistralinę šilumos trasą per parką, nuo stadiono iki Savanorių g. </w:t>
      </w:r>
      <w:r w:rsidR="00E70D5F" w:rsidRPr="002726AC">
        <w:t>7</w:t>
      </w:r>
      <w:r w:rsidR="00102FCB" w:rsidRPr="002726AC">
        <w:t xml:space="preserve"> </w:t>
      </w:r>
      <w:r w:rsidR="00D00534" w:rsidRPr="002726AC">
        <w:t xml:space="preserve">A, ilgis 325 metrai, sąmatinė vertė </w:t>
      </w:r>
      <w:r w:rsidR="001536D7" w:rsidRPr="002726AC">
        <w:t>176,7</w:t>
      </w:r>
      <w:r w:rsidR="00D00534" w:rsidRPr="002726AC">
        <w:t xml:space="preserve"> tūkst.</w:t>
      </w:r>
      <w:r w:rsidR="00102FCB" w:rsidRPr="002726AC">
        <w:t xml:space="preserve"> </w:t>
      </w:r>
      <w:r w:rsidR="00330745" w:rsidRPr="002726AC">
        <w:t>E</w:t>
      </w:r>
      <w:r w:rsidR="001536D7" w:rsidRPr="002726AC">
        <w:t>urų</w:t>
      </w:r>
      <w:r w:rsidR="00330745" w:rsidRPr="002726AC">
        <w:t>), prisideda</w:t>
      </w:r>
      <w:r w:rsidR="00833412" w:rsidRPr="002726AC">
        <w:t xml:space="preserve"> dar viena „Magistralinių šilumos tinklų tarp kamerų Nr.6006 – Nr.6001 rekonstrukcija“ ilgis 544,8 m. sąmatinė vertė 196,0 tūkst. </w:t>
      </w:r>
      <w:r w:rsidR="00563146" w:rsidRPr="002726AC">
        <w:t>e</w:t>
      </w:r>
      <w:r w:rsidR="00833412" w:rsidRPr="002726AC">
        <w:t xml:space="preserve">urų. Šie </w:t>
      </w:r>
      <w:r w:rsidR="00D00534" w:rsidRPr="002726AC">
        <w:t>projektai galimi vykdyti tik gavus struktūrinių fondų paramą</w:t>
      </w:r>
      <w:r w:rsidR="00833412" w:rsidRPr="002726AC">
        <w:t>.</w:t>
      </w:r>
      <w:r w:rsidR="000F1924" w:rsidRPr="002726AC">
        <w:rPr>
          <w:noProof/>
        </w:rPr>
        <w:t xml:space="preserve"> Artimiausiu metu reiktų užbaigti laboratorijos</w:t>
      </w:r>
      <w:r w:rsidR="00024D63" w:rsidRPr="002726AC">
        <w:rPr>
          <w:noProof/>
        </w:rPr>
        <w:t xml:space="preserve"> įrengimą.</w:t>
      </w:r>
      <w:r w:rsidR="000F1924" w:rsidRPr="002726AC">
        <w:rPr>
          <w:noProof/>
        </w:rPr>
        <w:t xml:space="preserve"> </w:t>
      </w:r>
      <w:r w:rsidR="00563146" w:rsidRPr="002726AC">
        <w:rPr>
          <w:noProof/>
        </w:rPr>
        <w:t>S</w:t>
      </w:r>
      <w:r w:rsidR="00024D63" w:rsidRPr="002726AC">
        <w:rPr>
          <w:noProof/>
        </w:rPr>
        <w:t>kubiai planuoti</w:t>
      </w:r>
      <w:r w:rsidR="000F1924" w:rsidRPr="002726AC">
        <w:rPr>
          <w:noProof/>
        </w:rPr>
        <w:t xml:space="preserve"> dispečerinės įrengimo darbus</w:t>
      </w:r>
      <w:r w:rsidR="00024D63" w:rsidRPr="002726AC">
        <w:rPr>
          <w:noProof/>
        </w:rPr>
        <w:t>, nes du operatoriai dirba 8,5 m²</w:t>
      </w:r>
      <w:r w:rsidR="00A37C9B" w:rsidRPr="002726AC">
        <w:rPr>
          <w:noProof/>
        </w:rPr>
        <w:t xml:space="preserve"> </w:t>
      </w:r>
      <w:r w:rsidR="00024D63" w:rsidRPr="002726AC">
        <w:rPr>
          <w:noProof/>
        </w:rPr>
        <w:t>patalpoje</w:t>
      </w:r>
      <w:r w:rsidR="00563146" w:rsidRPr="002726AC">
        <w:rPr>
          <w:noProof/>
        </w:rPr>
        <w:t>,</w:t>
      </w:r>
      <w:r w:rsidR="00024D63" w:rsidRPr="002726AC">
        <w:rPr>
          <w:noProof/>
        </w:rPr>
        <w:t xml:space="preserve"> kuri</w:t>
      </w:r>
      <w:r w:rsidR="00D17DED" w:rsidRPr="002726AC">
        <w:rPr>
          <w:noProof/>
        </w:rPr>
        <w:t xml:space="preserve"> neatitinka jokių reikalavimų, vos telpa valdymo įranga ir baldai.</w:t>
      </w:r>
    </w:p>
    <w:p w:rsidR="00F108B3" w:rsidRDefault="00833412" w:rsidP="00563146">
      <w:pPr>
        <w:ind w:firstLine="1134"/>
        <w:jc w:val="both"/>
        <w:rPr>
          <w:noProof/>
        </w:rPr>
      </w:pPr>
      <w:r w:rsidRPr="002726AC">
        <w:rPr>
          <w:noProof/>
        </w:rPr>
        <w:t>2015</w:t>
      </w:r>
      <w:r w:rsidR="00D00534" w:rsidRPr="002726AC">
        <w:rPr>
          <w:noProof/>
        </w:rPr>
        <w:t xml:space="preserve"> metais Europos biržose ATL (apyva</w:t>
      </w:r>
      <w:r w:rsidR="00102FCB" w:rsidRPr="002726AC">
        <w:rPr>
          <w:noProof/>
        </w:rPr>
        <w:t>rtinių taršos leidimų) pirkimo/</w:t>
      </w:r>
      <w:r w:rsidR="001F5B22" w:rsidRPr="002726AC">
        <w:rPr>
          <w:noProof/>
        </w:rPr>
        <w:t>pardavimo kaina svyravo apie 8</w:t>
      </w:r>
      <w:r w:rsidR="00E70D5F" w:rsidRPr="002726AC">
        <w:rPr>
          <w:noProof/>
        </w:rPr>
        <w:t xml:space="preserve"> eurai</w:t>
      </w:r>
      <w:r w:rsidR="00D00534" w:rsidRPr="002726AC">
        <w:rPr>
          <w:noProof/>
        </w:rPr>
        <w:t>/ton</w:t>
      </w:r>
      <w:r w:rsidR="00102FCB" w:rsidRPr="002726AC">
        <w:rPr>
          <w:noProof/>
        </w:rPr>
        <w:t>ą</w:t>
      </w:r>
      <w:r w:rsidR="00D00534" w:rsidRPr="002726AC">
        <w:rPr>
          <w:noProof/>
        </w:rPr>
        <w:t>. Sulaukę tin</w:t>
      </w:r>
      <w:r w:rsidR="001F5B22" w:rsidRPr="002726AC">
        <w:rPr>
          <w:noProof/>
        </w:rPr>
        <w:t>kamos progos</w:t>
      </w:r>
      <w:r w:rsidR="00563146" w:rsidRPr="002726AC">
        <w:rPr>
          <w:noProof/>
        </w:rPr>
        <w:t>,</w:t>
      </w:r>
      <w:r w:rsidR="001F5B22" w:rsidRPr="002726AC">
        <w:rPr>
          <w:noProof/>
        </w:rPr>
        <w:t xml:space="preserve"> dalį ATL pardavėme už 8,15 </w:t>
      </w:r>
      <w:r w:rsidR="00E70D5F" w:rsidRPr="002726AC">
        <w:rPr>
          <w:noProof/>
        </w:rPr>
        <w:t>eurų</w:t>
      </w:r>
      <w:r w:rsidR="001F5B22" w:rsidRPr="002726AC">
        <w:rPr>
          <w:noProof/>
        </w:rPr>
        <w:t>/toną ir gavome apie 97,8</w:t>
      </w:r>
      <w:r w:rsidR="00D00534" w:rsidRPr="002726AC">
        <w:rPr>
          <w:noProof/>
        </w:rPr>
        <w:t xml:space="preserve"> tūkst</w:t>
      </w:r>
      <w:r w:rsidR="001F5B22" w:rsidRPr="002726AC">
        <w:rPr>
          <w:noProof/>
        </w:rPr>
        <w:t>.</w:t>
      </w:r>
      <w:r w:rsidR="00E70D5F" w:rsidRPr="002726AC">
        <w:rPr>
          <w:noProof/>
        </w:rPr>
        <w:t xml:space="preserve"> eurų</w:t>
      </w:r>
      <w:r w:rsidR="00563146" w:rsidRPr="002726AC">
        <w:rPr>
          <w:noProof/>
        </w:rPr>
        <w:t xml:space="preserve"> papildomų pajamų.</w:t>
      </w:r>
    </w:p>
    <w:p w:rsidR="00EE1A9A" w:rsidRPr="002726AC" w:rsidRDefault="00EE1A9A" w:rsidP="00563146">
      <w:pPr>
        <w:ind w:firstLine="1134"/>
        <w:jc w:val="both"/>
        <w:rPr>
          <w:noProof/>
        </w:rPr>
      </w:pPr>
    </w:p>
    <w:p w:rsidR="00AE36BB" w:rsidRPr="002726AC" w:rsidRDefault="0017606F" w:rsidP="0017606F">
      <w:pPr>
        <w:jc w:val="center"/>
        <w:rPr>
          <w:noProof/>
        </w:rPr>
      </w:pPr>
      <w:r w:rsidRPr="002726AC">
        <w:rPr>
          <w:noProof/>
        </w:rPr>
        <w:t>_________________________</w:t>
      </w:r>
    </w:p>
    <w:sectPr w:rsidR="00AE36BB" w:rsidRPr="002726AC" w:rsidSect="00833AFF">
      <w:headerReference w:type="default" r:id="rId15"/>
      <w:pgSz w:w="12240" w:h="15840"/>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5C3" w:rsidRDefault="008145C3" w:rsidP="00685E45">
      <w:r>
        <w:separator/>
      </w:r>
    </w:p>
  </w:endnote>
  <w:endnote w:type="continuationSeparator" w:id="0">
    <w:p w:rsidR="008145C3" w:rsidRDefault="008145C3" w:rsidP="00685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5C3" w:rsidRDefault="008145C3" w:rsidP="00685E45">
      <w:r>
        <w:separator/>
      </w:r>
    </w:p>
  </w:footnote>
  <w:footnote w:type="continuationSeparator" w:id="0">
    <w:p w:rsidR="008145C3" w:rsidRDefault="008145C3" w:rsidP="00685E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C0F" w:rsidRDefault="00AB1C0F">
    <w:pPr>
      <w:pStyle w:val="Antrats"/>
      <w:jc w:val="center"/>
    </w:pPr>
    <w:r>
      <w:fldChar w:fldCharType="begin"/>
    </w:r>
    <w:r>
      <w:instrText>PAGE   \* MERGEFORMAT</w:instrText>
    </w:r>
    <w:r>
      <w:fldChar w:fldCharType="separate"/>
    </w:r>
    <w:r w:rsidR="00495265">
      <w:rPr>
        <w:noProof/>
      </w:rPr>
      <w:t>2</w:t>
    </w:r>
    <w:r>
      <w:fldChar w:fldCharType="end"/>
    </w:r>
  </w:p>
  <w:p w:rsidR="00AB1C0F" w:rsidRDefault="00AB1C0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3DB0"/>
    <w:multiLevelType w:val="hybridMultilevel"/>
    <w:tmpl w:val="E16450EE"/>
    <w:lvl w:ilvl="0" w:tplc="5490A03E">
      <w:start w:val="1"/>
      <w:numFmt w:val="decimal"/>
      <w:lvlText w:val="%1."/>
      <w:lvlJc w:val="left"/>
      <w:pPr>
        <w:tabs>
          <w:tab w:val="num" w:pos="900"/>
        </w:tabs>
        <w:ind w:left="900" w:hanging="360"/>
      </w:pPr>
      <w:rPr>
        <w:rFonts w:ascii="Times New Roman" w:eastAsia="Times New Roman" w:hAnsi="Times New Roman" w:cs="Times New Roman"/>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5EB3F66"/>
    <w:multiLevelType w:val="hybridMultilevel"/>
    <w:tmpl w:val="6B9CC7A8"/>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nsid w:val="0BD230A8"/>
    <w:multiLevelType w:val="multilevel"/>
    <w:tmpl w:val="75C47028"/>
    <w:lvl w:ilvl="0">
      <w:start w:val="1"/>
      <w:numFmt w:val="decimal"/>
      <w:lvlText w:val="%1."/>
      <w:lvlJc w:val="left"/>
      <w:pPr>
        <w:tabs>
          <w:tab w:val="num" w:pos="900"/>
        </w:tabs>
        <w:ind w:left="900" w:hanging="360"/>
      </w:pPr>
      <w:rPr>
        <w:rFonts w:ascii="Times New Roman" w:eastAsia="Times New Roman" w:hAnsi="Times New Roman" w:cs="Times New Roman"/>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nsid w:val="2CE7664A"/>
    <w:multiLevelType w:val="hybridMultilevel"/>
    <w:tmpl w:val="03C4D4CC"/>
    <w:lvl w:ilvl="0" w:tplc="011AAD6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31D56646"/>
    <w:multiLevelType w:val="hybridMultilevel"/>
    <w:tmpl w:val="CF0EFDAE"/>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nsid w:val="330D2955"/>
    <w:multiLevelType w:val="hybridMultilevel"/>
    <w:tmpl w:val="1D661F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6D2E4D06"/>
    <w:multiLevelType w:val="hybridMultilevel"/>
    <w:tmpl w:val="35324198"/>
    <w:lvl w:ilvl="0" w:tplc="FDEE5D7E">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878"/>
    <w:rsid w:val="000078A6"/>
    <w:rsid w:val="000123CE"/>
    <w:rsid w:val="00022073"/>
    <w:rsid w:val="00024899"/>
    <w:rsid w:val="00024B1B"/>
    <w:rsid w:val="00024D63"/>
    <w:rsid w:val="00024EED"/>
    <w:rsid w:val="00034371"/>
    <w:rsid w:val="0003598E"/>
    <w:rsid w:val="000429A8"/>
    <w:rsid w:val="00044325"/>
    <w:rsid w:val="00044909"/>
    <w:rsid w:val="000449A2"/>
    <w:rsid w:val="00045696"/>
    <w:rsid w:val="00047487"/>
    <w:rsid w:val="00047B38"/>
    <w:rsid w:val="00055439"/>
    <w:rsid w:val="00055E14"/>
    <w:rsid w:val="000576BA"/>
    <w:rsid w:val="00060B3E"/>
    <w:rsid w:val="0006119A"/>
    <w:rsid w:val="00062403"/>
    <w:rsid w:val="000672FF"/>
    <w:rsid w:val="0007107D"/>
    <w:rsid w:val="000750FE"/>
    <w:rsid w:val="0007529D"/>
    <w:rsid w:val="00077D7B"/>
    <w:rsid w:val="000851BF"/>
    <w:rsid w:val="0008636F"/>
    <w:rsid w:val="00090923"/>
    <w:rsid w:val="00091F2F"/>
    <w:rsid w:val="00093829"/>
    <w:rsid w:val="000953E3"/>
    <w:rsid w:val="00097430"/>
    <w:rsid w:val="000B23C6"/>
    <w:rsid w:val="000B4217"/>
    <w:rsid w:val="000B6B16"/>
    <w:rsid w:val="000C1F10"/>
    <w:rsid w:val="000C3434"/>
    <w:rsid w:val="000D0313"/>
    <w:rsid w:val="000D17DA"/>
    <w:rsid w:val="000D1D61"/>
    <w:rsid w:val="000D30D0"/>
    <w:rsid w:val="000D406C"/>
    <w:rsid w:val="000D41DE"/>
    <w:rsid w:val="000D7BDA"/>
    <w:rsid w:val="000E46C4"/>
    <w:rsid w:val="000E70BD"/>
    <w:rsid w:val="000F1924"/>
    <w:rsid w:val="000F2177"/>
    <w:rsid w:val="000F414E"/>
    <w:rsid w:val="000F7980"/>
    <w:rsid w:val="001016B7"/>
    <w:rsid w:val="00102C53"/>
    <w:rsid w:val="00102FCB"/>
    <w:rsid w:val="00106F8E"/>
    <w:rsid w:val="00111058"/>
    <w:rsid w:val="00117458"/>
    <w:rsid w:val="00121A0D"/>
    <w:rsid w:val="00123C8F"/>
    <w:rsid w:val="0012631A"/>
    <w:rsid w:val="001276ED"/>
    <w:rsid w:val="0013258A"/>
    <w:rsid w:val="001331D7"/>
    <w:rsid w:val="001363F8"/>
    <w:rsid w:val="00136EF2"/>
    <w:rsid w:val="001433F8"/>
    <w:rsid w:val="00145854"/>
    <w:rsid w:val="0014782D"/>
    <w:rsid w:val="00151CF5"/>
    <w:rsid w:val="001536D7"/>
    <w:rsid w:val="00153C39"/>
    <w:rsid w:val="00156261"/>
    <w:rsid w:val="00162441"/>
    <w:rsid w:val="00163E29"/>
    <w:rsid w:val="001640B0"/>
    <w:rsid w:val="00167B9E"/>
    <w:rsid w:val="00167FE7"/>
    <w:rsid w:val="0017080D"/>
    <w:rsid w:val="00171A92"/>
    <w:rsid w:val="00171D2D"/>
    <w:rsid w:val="001755D8"/>
    <w:rsid w:val="0017606F"/>
    <w:rsid w:val="001777B0"/>
    <w:rsid w:val="00180418"/>
    <w:rsid w:val="00180CD4"/>
    <w:rsid w:val="0018170C"/>
    <w:rsid w:val="00184B8D"/>
    <w:rsid w:val="00184C54"/>
    <w:rsid w:val="001859C2"/>
    <w:rsid w:val="00191824"/>
    <w:rsid w:val="001934F8"/>
    <w:rsid w:val="00193829"/>
    <w:rsid w:val="00197241"/>
    <w:rsid w:val="001A24F5"/>
    <w:rsid w:val="001A2887"/>
    <w:rsid w:val="001A3A90"/>
    <w:rsid w:val="001B5FB5"/>
    <w:rsid w:val="001D1B4E"/>
    <w:rsid w:val="001D2725"/>
    <w:rsid w:val="001D3AAB"/>
    <w:rsid w:val="001D4647"/>
    <w:rsid w:val="001D4C0B"/>
    <w:rsid w:val="001D6184"/>
    <w:rsid w:val="001E330B"/>
    <w:rsid w:val="001E796F"/>
    <w:rsid w:val="001F1E3C"/>
    <w:rsid w:val="001F3784"/>
    <w:rsid w:val="001F41E4"/>
    <w:rsid w:val="001F5B22"/>
    <w:rsid w:val="001F5BEE"/>
    <w:rsid w:val="001F7CB6"/>
    <w:rsid w:val="00203C77"/>
    <w:rsid w:val="00207974"/>
    <w:rsid w:val="002127FF"/>
    <w:rsid w:val="0021362A"/>
    <w:rsid w:val="00214DCA"/>
    <w:rsid w:val="00220D54"/>
    <w:rsid w:val="00230E4E"/>
    <w:rsid w:val="00237F2B"/>
    <w:rsid w:val="00240672"/>
    <w:rsid w:val="00241125"/>
    <w:rsid w:val="0024476D"/>
    <w:rsid w:val="00245380"/>
    <w:rsid w:val="00245A41"/>
    <w:rsid w:val="00245BFC"/>
    <w:rsid w:val="002462CA"/>
    <w:rsid w:val="002475EC"/>
    <w:rsid w:val="002521DA"/>
    <w:rsid w:val="0025500D"/>
    <w:rsid w:val="002606AE"/>
    <w:rsid w:val="00264D88"/>
    <w:rsid w:val="00271877"/>
    <w:rsid w:val="002726AC"/>
    <w:rsid w:val="00273ACF"/>
    <w:rsid w:val="00274743"/>
    <w:rsid w:val="002807B5"/>
    <w:rsid w:val="00297D8D"/>
    <w:rsid w:val="002B3C63"/>
    <w:rsid w:val="002B5E4B"/>
    <w:rsid w:val="002D06D8"/>
    <w:rsid w:val="002D0BAC"/>
    <w:rsid w:val="002D1F42"/>
    <w:rsid w:val="002D763A"/>
    <w:rsid w:val="002E1247"/>
    <w:rsid w:val="002E2D7C"/>
    <w:rsid w:val="002E779F"/>
    <w:rsid w:val="002F1373"/>
    <w:rsid w:val="002F1FCC"/>
    <w:rsid w:val="002F4CF1"/>
    <w:rsid w:val="002F4FD7"/>
    <w:rsid w:val="002F5A47"/>
    <w:rsid w:val="002F68E9"/>
    <w:rsid w:val="002F7B5D"/>
    <w:rsid w:val="002F7D95"/>
    <w:rsid w:val="00301856"/>
    <w:rsid w:val="00304E6D"/>
    <w:rsid w:val="003127C3"/>
    <w:rsid w:val="003144DC"/>
    <w:rsid w:val="003148E7"/>
    <w:rsid w:val="0032121D"/>
    <w:rsid w:val="00322492"/>
    <w:rsid w:val="00323483"/>
    <w:rsid w:val="00326AF7"/>
    <w:rsid w:val="00330745"/>
    <w:rsid w:val="003319B1"/>
    <w:rsid w:val="003319FC"/>
    <w:rsid w:val="00333252"/>
    <w:rsid w:val="00336B98"/>
    <w:rsid w:val="00337E45"/>
    <w:rsid w:val="00341540"/>
    <w:rsid w:val="00342690"/>
    <w:rsid w:val="003437DD"/>
    <w:rsid w:val="0034491A"/>
    <w:rsid w:val="00345475"/>
    <w:rsid w:val="00345B10"/>
    <w:rsid w:val="00350A4E"/>
    <w:rsid w:val="0035156C"/>
    <w:rsid w:val="00361D04"/>
    <w:rsid w:val="00364CF8"/>
    <w:rsid w:val="00365DCB"/>
    <w:rsid w:val="00366957"/>
    <w:rsid w:val="00367508"/>
    <w:rsid w:val="00367EB4"/>
    <w:rsid w:val="00367F60"/>
    <w:rsid w:val="003704ED"/>
    <w:rsid w:val="00374D05"/>
    <w:rsid w:val="0037558A"/>
    <w:rsid w:val="003761F4"/>
    <w:rsid w:val="00376484"/>
    <w:rsid w:val="0037724C"/>
    <w:rsid w:val="003816C9"/>
    <w:rsid w:val="00381C97"/>
    <w:rsid w:val="00382074"/>
    <w:rsid w:val="00382826"/>
    <w:rsid w:val="003831FE"/>
    <w:rsid w:val="003936E8"/>
    <w:rsid w:val="00395C6B"/>
    <w:rsid w:val="0039771D"/>
    <w:rsid w:val="003A03F1"/>
    <w:rsid w:val="003A0D0C"/>
    <w:rsid w:val="003A1777"/>
    <w:rsid w:val="003A1CEA"/>
    <w:rsid w:val="003A5C3D"/>
    <w:rsid w:val="003A5D27"/>
    <w:rsid w:val="003A66B6"/>
    <w:rsid w:val="003B7805"/>
    <w:rsid w:val="003B7E28"/>
    <w:rsid w:val="003C4BC9"/>
    <w:rsid w:val="003C5BAE"/>
    <w:rsid w:val="003C7237"/>
    <w:rsid w:val="003D1439"/>
    <w:rsid w:val="003D3779"/>
    <w:rsid w:val="003D559F"/>
    <w:rsid w:val="003E0BE2"/>
    <w:rsid w:val="003E17A6"/>
    <w:rsid w:val="003E2367"/>
    <w:rsid w:val="003E24B0"/>
    <w:rsid w:val="003E62EB"/>
    <w:rsid w:val="003E63A1"/>
    <w:rsid w:val="003E7653"/>
    <w:rsid w:val="003F00E6"/>
    <w:rsid w:val="003F1933"/>
    <w:rsid w:val="003F5F29"/>
    <w:rsid w:val="00403FF3"/>
    <w:rsid w:val="004073B9"/>
    <w:rsid w:val="00410B7A"/>
    <w:rsid w:val="00412259"/>
    <w:rsid w:val="00412DA7"/>
    <w:rsid w:val="00424586"/>
    <w:rsid w:val="00424702"/>
    <w:rsid w:val="00425169"/>
    <w:rsid w:val="004279BF"/>
    <w:rsid w:val="00440457"/>
    <w:rsid w:val="00440ACA"/>
    <w:rsid w:val="00441205"/>
    <w:rsid w:val="00441E06"/>
    <w:rsid w:val="004428A2"/>
    <w:rsid w:val="00442C6B"/>
    <w:rsid w:val="00443D8F"/>
    <w:rsid w:val="00445F6A"/>
    <w:rsid w:val="00450E49"/>
    <w:rsid w:val="004511F5"/>
    <w:rsid w:val="00462BC8"/>
    <w:rsid w:val="00464B55"/>
    <w:rsid w:val="00464D10"/>
    <w:rsid w:val="0046771A"/>
    <w:rsid w:val="00467C61"/>
    <w:rsid w:val="0047001E"/>
    <w:rsid w:val="00471309"/>
    <w:rsid w:val="00480B73"/>
    <w:rsid w:val="004824EA"/>
    <w:rsid w:val="00483283"/>
    <w:rsid w:val="0049210C"/>
    <w:rsid w:val="00495265"/>
    <w:rsid w:val="004A6828"/>
    <w:rsid w:val="004B25A0"/>
    <w:rsid w:val="004B5A8F"/>
    <w:rsid w:val="004C0363"/>
    <w:rsid w:val="004C225C"/>
    <w:rsid w:val="004C40AC"/>
    <w:rsid w:val="004C65F9"/>
    <w:rsid w:val="004C6B74"/>
    <w:rsid w:val="004D1508"/>
    <w:rsid w:val="004D4EA0"/>
    <w:rsid w:val="004D5001"/>
    <w:rsid w:val="004D6F8C"/>
    <w:rsid w:val="004E1351"/>
    <w:rsid w:val="004E3E18"/>
    <w:rsid w:val="004E5949"/>
    <w:rsid w:val="004E751E"/>
    <w:rsid w:val="004F096C"/>
    <w:rsid w:val="004F0A6C"/>
    <w:rsid w:val="004F411F"/>
    <w:rsid w:val="004F71B1"/>
    <w:rsid w:val="004F76E1"/>
    <w:rsid w:val="004F7C9B"/>
    <w:rsid w:val="00500203"/>
    <w:rsid w:val="00503EBE"/>
    <w:rsid w:val="00504B55"/>
    <w:rsid w:val="00511072"/>
    <w:rsid w:val="0051181E"/>
    <w:rsid w:val="00522C48"/>
    <w:rsid w:val="005256E0"/>
    <w:rsid w:val="00527021"/>
    <w:rsid w:val="0053538F"/>
    <w:rsid w:val="005369EA"/>
    <w:rsid w:val="00536D81"/>
    <w:rsid w:val="00537759"/>
    <w:rsid w:val="005403E7"/>
    <w:rsid w:val="00543C8C"/>
    <w:rsid w:val="00545453"/>
    <w:rsid w:val="0055534E"/>
    <w:rsid w:val="00556216"/>
    <w:rsid w:val="00560C72"/>
    <w:rsid w:val="00561CBD"/>
    <w:rsid w:val="00563146"/>
    <w:rsid w:val="00563903"/>
    <w:rsid w:val="00565EC1"/>
    <w:rsid w:val="00566376"/>
    <w:rsid w:val="00567158"/>
    <w:rsid w:val="00570BAB"/>
    <w:rsid w:val="00570D1F"/>
    <w:rsid w:val="005759AE"/>
    <w:rsid w:val="005762A4"/>
    <w:rsid w:val="00580CBE"/>
    <w:rsid w:val="0058373A"/>
    <w:rsid w:val="00590DCC"/>
    <w:rsid w:val="00592395"/>
    <w:rsid w:val="00595C56"/>
    <w:rsid w:val="005969B9"/>
    <w:rsid w:val="005A0A97"/>
    <w:rsid w:val="005B0D7E"/>
    <w:rsid w:val="005B0F08"/>
    <w:rsid w:val="005B2B7E"/>
    <w:rsid w:val="005B2BAF"/>
    <w:rsid w:val="005B4F70"/>
    <w:rsid w:val="005C0C60"/>
    <w:rsid w:val="005C44BA"/>
    <w:rsid w:val="005C7F66"/>
    <w:rsid w:val="005D050C"/>
    <w:rsid w:val="005D3362"/>
    <w:rsid w:val="005E12A5"/>
    <w:rsid w:val="005E200E"/>
    <w:rsid w:val="005E5E1D"/>
    <w:rsid w:val="005E616D"/>
    <w:rsid w:val="005F46C8"/>
    <w:rsid w:val="005F5AE2"/>
    <w:rsid w:val="005F73D1"/>
    <w:rsid w:val="005F7A2E"/>
    <w:rsid w:val="00600191"/>
    <w:rsid w:val="00605012"/>
    <w:rsid w:val="006056F7"/>
    <w:rsid w:val="006145F9"/>
    <w:rsid w:val="00616650"/>
    <w:rsid w:val="00616A24"/>
    <w:rsid w:val="00616A58"/>
    <w:rsid w:val="00630A46"/>
    <w:rsid w:val="00630D0A"/>
    <w:rsid w:val="006351C6"/>
    <w:rsid w:val="0063701A"/>
    <w:rsid w:val="006372FF"/>
    <w:rsid w:val="00637B03"/>
    <w:rsid w:val="006433DC"/>
    <w:rsid w:val="00646821"/>
    <w:rsid w:val="00647CA1"/>
    <w:rsid w:val="00651268"/>
    <w:rsid w:val="00651386"/>
    <w:rsid w:val="00657E05"/>
    <w:rsid w:val="00660DB1"/>
    <w:rsid w:val="006647D2"/>
    <w:rsid w:val="00675339"/>
    <w:rsid w:val="00676830"/>
    <w:rsid w:val="00680CF3"/>
    <w:rsid w:val="00682E35"/>
    <w:rsid w:val="006838AA"/>
    <w:rsid w:val="006848DE"/>
    <w:rsid w:val="00685E45"/>
    <w:rsid w:val="00686DE3"/>
    <w:rsid w:val="0068794E"/>
    <w:rsid w:val="00690422"/>
    <w:rsid w:val="00690EA2"/>
    <w:rsid w:val="006969D2"/>
    <w:rsid w:val="006A0695"/>
    <w:rsid w:val="006A2A31"/>
    <w:rsid w:val="006A3B34"/>
    <w:rsid w:val="006A55C2"/>
    <w:rsid w:val="006B2974"/>
    <w:rsid w:val="006B2C1A"/>
    <w:rsid w:val="006B4042"/>
    <w:rsid w:val="006B73AD"/>
    <w:rsid w:val="006C2C01"/>
    <w:rsid w:val="006C5643"/>
    <w:rsid w:val="006C7BAA"/>
    <w:rsid w:val="006D1335"/>
    <w:rsid w:val="006D52D0"/>
    <w:rsid w:val="006E218A"/>
    <w:rsid w:val="006F4B32"/>
    <w:rsid w:val="0070156B"/>
    <w:rsid w:val="0071007C"/>
    <w:rsid w:val="00710989"/>
    <w:rsid w:val="00711CF5"/>
    <w:rsid w:val="00712EAB"/>
    <w:rsid w:val="00714F84"/>
    <w:rsid w:val="00720AA9"/>
    <w:rsid w:val="0072120C"/>
    <w:rsid w:val="0072146B"/>
    <w:rsid w:val="007222F0"/>
    <w:rsid w:val="0073270D"/>
    <w:rsid w:val="00733155"/>
    <w:rsid w:val="00733183"/>
    <w:rsid w:val="00733A1D"/>
    <w:rsid w:val="0073561A"/>
    <w:rsid w:val="0073687C"/>
    <w:rsid w:val="007377FD"/>
    <w:rsid w:val="00743A93"/>
    <w:rsid w:val="0074453A"/>
    <w:rsid w:val="00744612"/>
    <w:rsid w:val="007462FD"/>
    <w:rsid w:val="007473BB"/>
    <w:rsid w:val="00750257"/>
    <w:rsid w:val="00750BB4"/>
    <w:rsid w:val="00752C33"/>
    <w:rsid w:val="007549BB"/>
    <w:rsid w:val="00754C6A"/>
    <w:rsid w:val="00754D92"/>
    <w:rsid w:val="00755474"/>
    <w:rsid w:val="00756065"/>
    <w:rsid w:val="00756DFA"/>
    <w:rsid w:val="00757410"/>
    <w:rsid w:val="00760395"/>
    <w:rsid w:val="00766C16"/>
    <w:rsid w:val="0077052D"/>
    <w:rsid w:val="0077083C"/>
    <w:rsid w:val="00771580"/>
    <w:rsid w:val="00772BD8"/>
    <w:rsid w:val="00773B46"/>
    <w:rsid w:val="00775929"/>
    <w:rsid w:val="00775B75"/>
    <w:rsid w:val="00776721"/>
    <w:rsid w:val="0077681C"/>
    <w:rsid w:val="007778DF"/>
    <w:rsid w:val="00780BD1"/>
    <w:rsid w:val="00783A40"/>
    <w:rsid w:val="007856BA"/>
    <w:rsid w:val="0078756E"/>
    <w:rsid w:val="00790142"/>
    <w:rsid w:val="00796B56"/>
    <w:rsid w:val="00797C85"/>
    <w:rsid w:val="007A0AD3"/>
    <w:rsid w:val="007A1278"/>
    <w:rsid w:val="007A4079"/>
    <w:rsid w:val="007A44E2"/>
    <w:rsid w:val="007A6AD3"/>
    <w:rsid w:val="007B087F"/>
    <w:rsid w:val="007B1D66"/>
    <w:rsid w:val="007C1802"/>
    <w:rsid w:val="007C3365"/>
    <w:rsid w:val="007C6E15"/>
    <w:rsid w:val="007D7631"/>
    <w:rsid w:val="007E390C"/>
    <w:rsid w:val="007E6249"/>
    <w:rsid w:val="007E722A"/>
    <w:rsid w:val="007F5EFD"/>
    <w:rsid w:val="007F702F"/>
    <w:rsid w:val="007F7B58"/>
    <w:rsid w:val="008045D0"/>
    <w:rsid w:val="0080488A"/>
    <w:rsid w:val="00804CD5"/>
    <w:rsid w:val="00805308"/>
    <w:rsid w:val="00810555"/>
    <w:rsid w:val="0081359F"/>
    <w:rsid w:val="008145C3"/>
    <w:rsid w:val="00815872"/>
    <w:rsid w:val="008167E0"/>
    <w:rsid w:val="0081708F"/>
    <w:rsid w:val="00820374"/>
    <w:rsid w:val="00820AD7"/>
    <w:rsid w:val="00825050"/>
    <w:rsid w:val="00827BF8"/>
    <w:rsid w:val="00831F74"/>
    <w:rsid w:val="00833412"/>
    <w:rsid w:val="00833AFF"/>
    <w:rsid w:val="00834598"/>
    <w:rsid w:val="00836329"/>
    <w:rsid w:val="0084053F"/>
    <w:rsid w:val="00844201"/>
    <w:rsid w:val="008503AE"/>
    <w:rsid w:val="00851584"/>
    <w:rsid w:val="00854883"/>
    <w:rsid w:val="0085622D"/>
    <w:rsid w:val="00864AC2"/>
    <w:rsid w:val="008669EB"/>
    <w:rsid w:val="0086769B"/>
    <w:rsid w:val="0087098E"/>
    <w:rsid w:val="00875B16"/>
    <w:rsid w:val="0088277E"/>
    <w:rsid w:val="00884C6F"/>
    <w:rsid w:val="008855C5"/>
    <w:rsid w:val="00886358"/>
    <w:rsid w:val="00890569"/>
    <w:rsid w:val="008917FE"/>
    <w:rsid w:val="00894FD7"/>
    <w:rsid w:val="008A16FF"/>
    <w:rsid w:val="008A4C37"/>
    <w:rsid w:val="008B7457"/>
    <w:rsid w:val="008C0A10"/>
    <w:rsid w:val="008C37D8"/>
    <w:rsid w:val="008C642C"/>
    <w:rsid w:val="008D212B"/>
    <w:rsid w:val="008E70A9"/>
    <w:rsid w:val="008F2A49"/>
    <w:rsid w:val="008F372B"/>
    <w:rsid w:val="008F3753"/>
    <w:rsid w:val="008F558E"/>
    <w:rsid w:val="00902119"/>
    <w:rsid w:val="00904BF1"/>
    <w:rsid w:val="00910A72"/>
    <w:rsid w:val="00911321"/>
    <w:rsid w:val="00913B0A"/>
    <w:rsid w:val="00915503"/>
    <w:rsid w:val="009158F8"/>
    <w:rsid w:val="0092354D"/>
    <w:rsid w:val="0092360A"/>
    <w:rsid w:val="009276D0"/>
    <w:rsid w:val="00933586"/>
    <w:rsid w:val="00933738"/>
    <w:rsid w:val="009435E5"/>
    <w:rsid w:val="00943C71"/>
    <w:rsid w:val="00947248"/>
    <w:rsid w:val="00947934"/>
    <w:rsid w:val="00947DF5"/>
    <w:rsid w:val="009544BB"/>
    <w:rsid w:val="009556D9"/>
    <w:rsid w:val="009605D6"/>
    <w:rsid w:val="00967174"/>
    <w:rsid w:val="009707A0"/>
    <w:rsid w:val="00983254"/>
    <w:rsid w:val="009844E5"/>
    <w:rsid w:val="00984949"/>
    <w:rsid w:val="0098521E"/>
    <w:rsid w:val="00985B12"/>
    <w:rsid w:val="009944DF"/>
    <w:rsid w:val="009956D7"/>
    <w:rsid w:val="0099664D"/>
    <w:rsid w:val="00997F28"/>
    <w:rsid w:val="009A0823"/>
    <w:rsid w:val="009A1BB8"/>
    <w:rsid w:val="009A302D"/>
    <w:rsid w:val="009A5E6D"/>
    <w:rsid w:val="009B04F8"/>
    <w:rsid w:val="009B0A36"/>
    <w:rsid w:val="009B12B5"/>
    <w:rsid w:val="009B1DED"/>
    <w:rsid w:val="009B20E4"/>
    <w:rsid w:val="009B25E9"/>
    <w:rsid w:val="009B2BFB"/>
    <w:rsid w:val="009B4D62"/>
    <w:rsid w:val="009B790A"/>
    <w:rsid w:val="009C31AE"/>
    <w:rsid w:val="009C3878"/>
    <w:rsid w:val="009D0186"/>
    <w:rsid w:val="009D1C87"/>
    <w:rsid w:val="009D2F23"/>
    <w:rsid w:val="009D4AC5"/>
    <w:rsid w:val="009D7D06"/>
    <w:rsid w:val="009E2EB0"/>
    <w:rsid w:val="009E63A5"/>
    <w:rsid w:val="009E7558"/>
    <w:rsid w:val="009E79B2"/>
    <w:rsid w:val="009F0991"/>
    <w:rsid w:val="009F495D"/>
    <w:rsid w:val="009F4AE8"/>
    <w:rsid w:val="009F554D"/>
    <w:rsid w:val="009F5AC6"/>
    <w:rsid w:val="00A1127D"/>
    <w:rsid w:val="00A11802"/>
    <w:rsid w:val="00A14817"/>
    <w:rsid w:val="00A1499F"/>
    <w:rsid w:val="00A15A4D"/>
    <w:rsid w:val="00A16D6B"/>
    <w:rsid w:val="00A21193"/>
    <w:rsid w:val="00A2199C"/>
    <w:rsid w:val="00A22E6F"/>
    <w:rsid w:val="00A257A8"/>
    <w:rsid w:val="00A259BE"/>
    <w:rsid w:val="00A3136C"/>
    <w:rsid w:val="00A34D4B"/>
    <w:rsid w:val="00A37C9B"/>
    <w:rsid w:val="00A37E27"/>
    <w:rsid w:val="00A4304A"/>
    <w:rsid w:val="00A5075F"/>
    <w:rsid w:val="00A50814"/>
    <w:rsid w:val="00A51285"/>
    <w:rsid w:val="00A576DD"/>
    <w:rsid w:val="00A609F1"/>
    <w:rsid w:val="00A63F2D"/>
    <w:rsid w:val="00A64EAB"/>
    <w:rsid w:val="00A71B30"/>
    <w:rsid w:val="00A7259A"/>
    <w:rsid w:val="00A7582D"/>
    <w:rsid w:val="00A84954"/>
    <w:rsid w:val="00A854C4"/>
    <w:rsid w:val="00A860A3"/>
    <w:rsid w:val="00A907F0"/>
    <w:rsid w:val="00A910CC"/>
    <w:rsid w:val="00A91892"/>
    <w:rsid w:val="00A92B97"/>
    <w:rsid w:val="00A94950"/>
    <w:rsid w:val="00A96847"/>
    <w:rsid w:val="00A972C8"/>
    <w:rsid w:val="00AA26CD"/>
    <w:rsid w:val="00AA6243"/>
    <w:rsid w:val="00AB1C0F"/>
    <w:rsid w:val="00AB29B0"/>
    <w:rsid w:val="00AB3945"/>
    <w:rsid w:val="00AB4916"/>
    <w:rsid w:val="00AB5485"/>
    <w:rsid w:val="00AB598C"/>
    <w:rsid w:val="00AB5EF7"/>
    <w:rsid w:val="00AB6067"/>
    <w:rsid w:val="00AC0BB3"/>
    <w:rsid w:val="00AC5AA7"/>
    <w:rsid w:val="00AC6730"/>
    <w:rsid w:val="00AD017C"/>
    <w:rsid w:val="00AD2663"/>
    <w:rsid w:val="00AD5C44"/>
    <w:rsid w:val="00AD66CF"/>
    <w:rsid w:val="00AD75B2"/>
    <w:rsid w:val="00AD7ADB"/>
    <w:rsid w:val="00AE1B4F"/>
    <w:rsid w:val="00AE36BB"/>
    <w:rsid w:val="00AF07ED"/>
    <w:rsid w:val="00AF3562"/>
    <w:rsid w:val="00AF5766"/>
    <w:rsid w:val="00AF5873"/>
    <w:rsid w:val="00AF6FF1"/>
    <w:rsid w:val="00AF739A"/>
    <w:rsid w:val="00AF7B33"/>
    <w:rsid w:val="00B01F17"/>
    <w:rsid w:val="00B02A28"/>
    <w:rsid w:val="00B03917"/>
    <w:rsid w:val="00B0587D"/>
    <w:rsid w:val="00B071FD"/>
    <w:rsid w:val="00B07293"/>
    <w:rsid w:val="00B078C5"/>
    <w:rsid w:val="00B117C0"/>
    <w:rsid w:val="00B12FEB"/>
    <w:rsid w:val="00B13CB7"/>
    <w:rsid w:val="00B14602"/>
    <w:rsid w:val="00B167D7"/>
    <w:rsid w:val="00B238E9"/>
    <w:rsid w:val="00B25F98"/>
    <w:rsid w:val="00B30F39"/>
    <w:rsid w:val="00B30F4D"/>
    <w:rsid w:val="00B317FC"/>
    <w:rsid w:val="00B35D80"/>
    <w:rsid w:val="00B41F5D"/>
    <w:rsid w:val="00B434A2"/>
    <w:rsid w:val="00B43B08"/>
    <w:rsid w:val="00B5198A"/>
    <w:rsid w:val="00B61539"/>
    <w:rsid w:val="00B61CC6"/>
    <w:rsid w:val="00B6262B"/>
    <w:rsid w:val="00B634BF"/>
    <w:rsid w:val="00B65159"/>
    <w:rsid w:val="00B76A2F"/>
    <w:rsid w:val="00B76D5E"/>
    <w:rsid w:val="00B7723E"/>
    <w:rsid w:val="00B80A74"/>
    <w:rsid w:val="00B8278C"/>
    <w:rsid w:val="00B8279A"/>
    <w:rsid w:val="00B858D5"/>
    <w:rsid w:val="00B86C41"/>
    <w:rsid w:val="00B86D05"/>
    <w:rsid w:val="00B86DB6"/>
    <w:rsid w:val="00B90DFE"/>
    <w:rsid w:val="00B93E22"/>
    <w:rsid w:val="00BA1CA8"/>
    <w:rsid w:val="00BA20C3"/>
    <w:rsid w:val="00BA22AA"/>
    <w:rsid w:val="00BA3510"/>
    <w:rsid w:val="00BB1F98"/>
    <w:rsid w:val="00BC52B0"/>
    <w:rsid w:val="00BC532B"/>
    <w:rsid w:val="00BC6332"/>
    <w:rsid w:val="00BD0D9D"/>
    <w:rsid w:val="00BD27D1"/>
    <w:rsid w:val="00BD389B"/>
    <w:rsid w:val="00BD48E7"/>
    <w:rsid w:val="00BD7B0D"/>
    <w:rsid w:val="00BD7C50"/>
    <w:rsid w:val="00BE1385"/>
    <w:rsid w:val="00BE2643"/>
    <w:rsid w:val="00BE4639"/>
    <w:rsid w:val="00BE66CB"/>
    <w:rsid w:val="00BE7035"/>
    <w:rsid w:val="00BF0AFD"/>
    <w:rsid w:val="00BF0DB1"/>
    <w:rsid w:val="00BF18C4"/>
    <w:rsid w:val="00BF50DE"/>
    <w:rsid w:val="00C03B8A"/>
    <w:rsid w:val="00C05874"/>
    <w:rsid w:val="00C120DC"/>
    <w:rsid w:val="00C12AFD"/>
    <w:rsid w:val="00C175D9"/>
    <w:rsid w:val="00C20312"/>
    <w:rsid w:val="00C219CB"/>
    <w:rsid w:val="00C2343A"/>
    <w:rsid w:val="00C243EA"/>
    <w:rsid w:val="00C31828"/>
    <w:rsid w:val="00C33F2B"/>
    <w:rsid w:val="00C348AA"/>
    <w:rsid w:val="00C4699B"/>
    <w:rsid w:val="00C51A27"/>
    <w:rsid w:val="00C606BF"/>
    <w:rsid w:val="00C617F2"/>
    <w:rsid w:val="00C656E4"/>
    <w:rsid w:val="00C706DE"/>
    <w:rsid w:val="00C70AAE"/>
    <w:rsid w:val="00C74606"/>
    <w:rsid w:val="00C74C41"/>
    <w:rsid w:val="00C77889"/>
    <w:rsid w:val="00C81A83"/>
    <w:rsid w:val="00C85054"/>
    <w:rsid w:val="00C91ADB"/>
    <w:rsid w:val="00C96B46"/>
    <w:rsid w:val="00C971EA"/>
    <w:rsid w:val="00CA1A53"/>
    <w:rsid w:val="00CA39F9"/>
    <w:rsid w:val="00CA3A0D"/>
    <w:rsid w:val="00CA3E9A"/>
    <w:rsid w:val="00CA574B"/>
    <w:rsid w:val="00CB5FDE"/>
    <w:rsid w:val="00CC0CE4"/>
    <w:rsid w:val="00CC23CF"/>
    <w:rsid w:val="00CC6A89"/>
    <w:rsid w:val="00CD393B"/>
    <w:rsid w:val="00CD51F5"/>
    <w:rsid w:val="00CD62DB"/>
    <w:rsid w:val="00CD772C"/>
    <w:rsid w:val="00CE0D8B"/>
    <w:rsid w:val="00CE1360"/>
    <w:rsid w:val="00CE15F8"/>
    <w:rsid w:val="00CE6DF1"/>
    <w:rsid w:val="00CE701A"/>
    <w:rsid w:val="00CE76CE"/>
    <w:rsid w:val="00CE78A7"/>
    <w:rsid w:val="00CF20EB"/>
    <w:rsid w:val="00CF6558"/>
    <w:rsid w:val="00D00534"/>
    <w:rsid w:val="00D00CC0"/>
    <w:rsid w:val="00D03812"/>
    <w:rsid w:val="00D03DCC"/>
    <w:rsid w:val="00D043AB"/>
    <w:rsid w:val="00D066DC"/>
    <w:rsid w:val="00D10BF3"/>
    <w:rsid w:val="00D14409"/>
    <w:rsid w:val="00D17DED"/>
    <w:rsid w:val="00D20823"/>
    <w:rsid w:val="00D21E9C"/>
    <w:rsid w:val="00D22105"/>
    <w:rsid w:val="00D24D0B"/>
    <w:rsid w:val="00D303BA"/>
    <w:rsid w:val="00D31C1D"/>
    <w:rsid w:val="00D32AD8"/>
    <w:rsid w:val="00D33E22"/>
    <w:rsid w:val="00D410D7"/>
    <w:rsid w:val="00D4197C"/>
    <w:rsid w:val="00D42F22"/>
    <w:rsid w:val="00D43CBB"/>
    <w:rsid w:val="00D45112"/>
    <w:rsid w:val="00D51781"/>
    <w:rsid w:val="00D71F6A"/>
    <w:rsid w:val="00D7446D"/>
    <w:rsid w:val="00D74E4B"/>
    <w:rsid w:val="00D75916"/>
    <w:rsid w:val="00D81BEB"/>
    <w:rsid w:val="00D82F87"/>
    <w:rsid w:val="00D8634D"/>
    <w:rsid w:val="00D87031"/>
    <w:rsid w:val="00D937E0"/>
    <w:rsid w:val="00D93EBF"/>
    <w:rsid w:val="00D9433B"/>
    <w:rsid w:val="00D96DDE"/>
    <w:rsid w:val="00D9724A"/>
    <w:rsid w:val="00DA63DA"/>
    <w:rsid w:val="00DB0F8F"/>
    <w:rsid w:val="00DB1C05"/>
    <w:rsid w:val="00DB5877"/>
    <w:rsid w:val="00DB6904"/>
    <w:rsid w:val="00DC269F"/>
    <w:rsid w:val="00DC3655"/>
    <w:rsid w:val="00DC4D81"/>
    <w:rsid w:val="00DC6341"/>
    <w:rsid w:val="00DC6DBF"/>
    <w:rsid w:val="00DD074D"/>
    <w:rsid w:val="00DD53C4"/>
    <w:rsid w:val="00DD5FAB"/>
    <w:rsid w:val="00DE2013"/>
    <w:rsid w:val="00DE3ED6"/>
    <w:rsid w:val="00DF08AD"/>
    <w:rsid w:val="00DF1FDB"/>
    <w:rsid w:val="00DF258E"/>
    <w:rsid w:val="00DF2A0B"/>
    <w:rsid w:val="00DF43B2"/>
    <w:rsid w:val="00DF4AE7"/>
    <w:rsid w:val="00DF5065"/>
    <w:rsid w:val="00DF6089"/>
    <w:rsid w:val="00E006CA"/>
    <w:rsid w:val="00E06DCC"/>
    <w:rsid w:val="00E078B9"/>
    <w:rsid w:val="00E1116E"/>
    <w:rsid w:val="00E14DF2"/>
    <w:rsid w:val="00E17C84"/>
    <w:rsid w:val="00E22647"/>
    <w:rsid w:val="00E22C0C"/>
    <w:rsid w:val="00E27853"/>
    <w:rsid w:val="00E27B17"/>
    <w:rsid w:val="00E30783"/>
    <w:rsid w:val="00E34642"/>
    <w:rsid w:val="00E347D4"/>
    <w:rsid w:val="00E36D80"/>
    <w:rsid w:val="00E370EC"/>
    <w:rsid w:val="00E42246"/>
    <w:rsid w:val="00E429AC"/>
    <w:rsid w:val="00E5102F"/>
    <w:rsid w:val="00E57458"/>
    <w:rsid w:val="00E57FF4"/>
    <w:rsid w:val="00E60CF9"/>
    <w:rsid w:val="00E623D7"/>
    <w:rsid w:val="00E6509A"/>
    <w:rsid w:val="00E65DDE"/>
    <w:rsid w:val="00E67EBE"/>
    <w:rsid w:val="00E703D7"/>
    <w:rsid w:val="00E70D5F"/>
    <w:rsid w:val="00E716CC"/>
    <w:rsid w:val="00E73B1F"/>
    <w:rsid w:val="00E76702"/>
    <w:rsid w:val="00E76ACB"/>
    <w:rsid w:val="00E80F7A"/>
    <w:rsid w:val="00E81F36"/>
    <w:rsid w:val="00E825D0"/>
    <w:rsid w:val="00E83805"/>
    <w:rsid w:val="00E841CD"/>
    <w:rsid w:val="00E860B3"/>
    <w:rsid w:val="00E9111F"/>
    <w:rsid w:val="00E9185E"/>
    <w:rsid w:val="00EA019B"/>
    <w:rsid w:val="00EA0919"/>
    <w:rsid w:val="00EA322F"/>
    <w:rsid w:val="00EA3CAF"/>
    <w:rsid w:val="00EA6EA8"/>
    <w:rsid w:val="00EB3955"/>
    <w:rsid w:val="00EB69ED"/>
    <w:rsid w:val="00EB7816"/>
    <w:rsid w:val="00EC06D7"/>
    <w:rsid w:val="00EC0F25"/>
    <w:rsid w:val="00EC1D13"/>
    <w:rsid w:val="00EC238D"/>
    <w:rsid w:val="00EC312B"/>
    <w:rsid w:val="00EC3793"/>
    <w:rsid w:val="00ED089F"/>
    <w:rsid w:val="00ED152B"/>
    <w:rsid w:val="00ED1539"/>
    <w:rsid w:val="00ED5832"/>
    <w:rsid w:val="00ED6131"/>
    <w:rsid w:val="00EE1377"/>
    <w:rsid w:val="00EE1A9A"/>
    <w:rsid w:val="00EE719B"/>
    <w:rsid w:val="00EF0703"/>
    <w:rsid w:val="00EF6689"/>
    <w:rsid w:val="00F0698F"/>
    <w:rsid w:val="00F108B3"/>
    <w:rsid w:val="00F12869"/>
    <w:rsid w:val="00F16385"/>
    <w:rsid w:val="00F22C67"/>
    <w:rsid w:val="00F34A9B"/>
    <w:rsid w:val="00F40BE9"/>
    <w:rsid w:val="00F427DF"/>
    <w:rsid w:val="00F42959"/>
    <w:rsid w:val="00F43653"/>
    <w:rsid w:val="00F44489"/>
    <w:rsid w:val="00F45657"/>
    <w:rsid w:val="00F46F40"/>
    <w:rsid w:val="00F5129A"/>
    <w:rsid w:val="00F5252E"/>
    <w:rsid w:val="00F53744"/>
    <w:rsid w:val="00F63D0A"/>
    <w:rsid w:val="00F64023"/>
    <w:rsid w:val="00F70485"/>
    <w:rsid w:val="00F71AA7"/>
    <w:rsid w:val="00F71C27"/>
    <w:rsid w:val="00F759E7"/>
    <w:rsid w:val="00F769DB"/>
    <w:rsid w:val="00F7791B"/>
    <w:rsid w:val="00F80B3C"/>
    <w:rsid w:val="00F829A8"/>
    <w:rsid w:val="00F85C55"/>
    <w:rsid w:val="00F87FDE"/>
    <w:rsid w:val="00F936D1"/>
    <w:rsid w:val="00F95F1F"/>
    <w:rsid w:val="00FA4D84"/>
    <w:rsid w:val="00FA563D"/>
    <w:rsid w:val="00FA5BAB"/>
    <w:rsid w:val="00FA6497"/>
    <w:rsid w:val="00FA7A85"/>
    <w:rsid w:val="00FB2B08"/>
    <w:rsid w:val="00FB5E8C"/>
    <w:rsid w:val="00FB70D5"/>
    <w:rsid w:val="00FB72B7"/>
    <w:rsid w:val="00FB7CB0"/>
    <w:rsid w:val="00FC15F8"/>
    <w:rsid w:val="00FD1483"/>
    <w:rsid w:val="00FD24F6"/>
    <w:rsid w:val="00FD2FC9"/>
    <w:rsid w:val="00FD33E5"/>
    <w:rsid w:val="00FD3BC6"/>
    <w:rsid w:val="00FE0122"/>
    <w:rsid w:val="00FE0567"/>
    <w:rsid w:val="00FE11DB"/>
    <w:rsid w:val="00FE197D"/>
    <w:rsid w:val="00FE635F"/>
    <w:rsid w:val="00FF0E59"/>
    <w:rsid w:val="00FF20C0"/>
    <w:rsid w:val="00FF3288"/>
    <w:rsid w:val="00FF346C"/>
    <w:rsid w:val="00FF3788"/>
    <w:rsid w:val="00FF6F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AF3562"/>
    <w:rPr>
      <w:sz w:val="24"/>
      <w:szCs w:val="24"/>
      <w:lang w:eastAsia="en-US"/>
    </w:rPr>
  </w:style>
  <w:style w:type="paragraph" w:styleId="Antrat1">
    <w:name w:val="heading 1"/>
    <w:basedOn w:val="prastasis"/>
    <w:next w:val="prastasis"/>
    <w:link w:val="Antrat1Diagrama"/>
    <w:qFormat/>
    <w:rsid w:val="009A302D"/>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0A97"/>
    <w:rPr>
      <w:color w:val="0000FF"/>
      <w:u w:val="single"/>
    </w:rPr>
  </w:style>
  <w:style w:type="character" w:customStyle="1" w:styleId="Antrat1Diagrama">
    <w:name w:val="Antraštė 1 Diagrama"/>
    <w:link w:val="Antrat1"/>
    <w:rsid w:val="009A302D"/>
    <w:rPr>
      <w:rFonts w:ascii="Arial" w:hAnsi="Arial" w:cs="Arial"/>
      <w:b/>
      <w:bCs/>
      <w:kern w:val="32"/>
      <w:sz w:val="32"/>
      <w:szCs w:val="32"/>
      <w:lang w:val="lt-LT" w:eastAsia="en-US" w:bidi="ar-SA"/>
    </w:rPr>
  </w:style>
  <w:style w:type="paragraph" w:customStyle="1" w:styleId="Sraopastraipa1">
    <w:name w:val="Sąrašo pastraipa1"/>
    <w:basedOn w:val="prastasis"/>
    <w:rsid w:val="00A34D4B"/>
    <w:pPr>
      <w:spacing w:after="200" w:line="276" w:lineRule="auto"/>
      <w:ind w:left="720"/>
    </w:pPr>
    <w:rPr>
      <w:szCs w:val="22"/>
    </w:rPr>
  </w:style>
  <w:style w:type="paragraph" w:styleId="Antrinispavadinimas">
    <w:name w:val="Subtitle"/>
    <w:basedOn w:val="prastasis"/>
    <w:next w:val="prastasis"/>
    <w:link w:val="AntrinispavadinimasDiagrama"/>
    <w:qFormat/>
    <w:rsid w:val="00750257"/>
    <w:pPr>
      <w:spacing w:after="60"/>
      <w:jc w:val="center"/>
      <w:outlineLvl w:val="1"/>
    </w:pPr>
    <w:rPr>
      <w:rFonts w:ascii="Cambria" w:hAnsi="Cambria"/>
    </w:rPr>
  </w:style>
  <w:style w:type="character" w:customStyle="1" w:styleId="AntrinispavadinimasDiagrama">
    <w:name w:val="Antrinis pavadinimas Diagrama"/>
    <w:link w:val="Antrinispavadinimas"/>
    <w:rsid w:val="00750257"/>
    <w:rPr>
      <w:rFonts w:ascii="Cambria" w:eastAsia="Times New Roman" w:hAnsi="Cambria" w:cs="Times New Roman"/>
      <w:sz w:val="24"/>
      <w:szCs w:val="24"/>
      <w:lang w:eastAsia="en-US"/>
    </w:rPr>
  </w:style>
  <w:style w:type="paragraph" w:styleId="Antrats">
    <w:name w:val="header"/>
    <w:basedOn w:val="prastasis"/>
    <w:link w:val="AntratsDiagrama"/>
    <w:uiPriority w:val="99"/>
    <w:rsid w:val="00685E45"/>
    <w:pPr>
      <w:tabs>
        <w:tab w:val="center" w:pos="4819"/>
        <w:tab w:val="right" w:pos="9638"/>
      </w:tabs>
    </w:pPr>
  </w:style>
  <w:style w:type="character" w:customStyle="1" w:styleId="AntratsDiagrama">
    <w:name w:val="Antraštės Diagrama"/>
    <w:link w:val="Antrats"/>
    <w:uiPriority w:val="99"/>
    <w:rsid w:val="00685E45"/>
    <w:rPr>
      <w:sz w:val="24"/>
      <w:szCs w:val="24"/>
      <w:lang w:eastAsia="en-US"/>
    </w:rPr>
  </w:style>
  <w:style w:type="paragraph" w:styleId="Porat">
    <w:name w:val="footer"/>
    <w:basedOn w:val="prastasis"/>
    <w:link w:val="PoratDiagrama"/>
    <w:rsid w:val="00685E45"/>
    <w:pPr>
      <w:tabs>
        <w:tab w:val="center" w:pos="4819"/>
        <w:tab w:val="right" w:pos="9638"/>
      </w:tabs>
    </w:pPr>
  </w:style>
  <w:style w:type="character" w:customStyle="1" w:styleId="PoratDiagrama">
    <w:name w:val="Poraštė Diagrama"/>
    <w:link w:val="Porat"/>
    <w:rsid w:val="00685E45"/>
    <w:rPr>
      <w:sz w:val="24"/>
      <w:szCs w:val="24"/>
      <w:lang w:eastAsia="en-US"/>
    </w:rPr>
  </w:style>
  <w:style w:type="paragraph" w:styleId="Debesliotekstas">
    <w:name w:val="Balloon Text"/>
    <w:basedOn w:val="prastasis"/>
    <w:link w:val="DebesliotekstasDiagrama"/>
    <w:rsid w:val="00167B9E"/>
    <w:rPr>
      <w:rFonts w:ascii="Tahoma" w:hAnsi="Tahoma" w:cs="Tahoma"/>
      <w:sz w:val="16"/>
      <w:szCs w:val="16"/>
    </w:rPr>
  </w:style>
  <w:style w:type="character" w:customStyle="1" w:styleId="DebesliotekstasDiagrama">
    <w:name w:val="Debesėlio tekstas Diagrama"/>
    <w:link w:val="Debesliotekstas"/>
    <w:rsid w:val="00167B9E"/>
    <w:rPr>
      <w:rFonts w:ascii="Tahoma" w:hAnsi="Tahoma" w:cs="Tahoma"/>
      <w:sz w:val="16"/>
      <w:szCs w:val="16"/>
      <w:lang w:eastAsia="en-US"/>
    </w:rPr>
  </w:style>
  <w:style w:type="paragraph" w:styleId="Sraopastraipa">
    <w:name w:val="List Paragraph"/>
    <w:basedOn w:val="prastasis"/>
    <w:uiPriority w:val="34"/>
    <w:qFormat/>
    <w:rsid w:val="00902119"/>
    <w:pPr>
      <w:spacing w:after="200" w:line="276" w:lineRule="auto"/>
      <w:ind w:left="720"/>
      <w:contextualSpacing/>
    </w:pPr>
    <w:rPr>
      <w:rFonts w:ascii="Calibri" w:eastAsia="Calibri" w:hAnsi="Calibri"/>
      <w:sz w:val="22"/>
      <w:szCs w:val="22"/>
    </w:rPr>
  </w:style>
  <w:style w:type="paragraph" w:styleId="Betarp">
    <w:name w:val="No Spacing"/>
    <w:uiPriority w:val="1"/>
    <w:qFormat/>
    <w:rsid w:val="00796B56"/>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AF3562"/>
    <w:rPr>
      <w:sz w:val="24"/>
      <w:szCs w:val="24"/>
      <w:lang w:eastAsia="en-US"/>
    </w:rPr>
  </w:style>
  <w:style w:type="paragraph" w:styleId="Antrat1">
    <w:name w:val="heading 1"/>
    <w:basedOn w:val="prastasis"/>
    <w:next w:val="prastasis"/>
    <w:link w:val="Antrat1Diagrama"/>
    <w:qFormat/>
    <w:rsid w:val="009A302D"/>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A0A97"/>
    <w:rPr>
      <w:color w:val="0000FF"/>
      <w:u w:val="single"/>
    </w:rPr>
  </w:style>
  <w:style w:type="character" w:customStyle="1" w:styleId="Antrat1Diagrama">
    <w:name w:val="Antraštė 1 Diagrama"/>
    <w:link w:val="Antrat1"/>
    <w:rsid w:val="009A302D"/>
    <w:rPr>
      <w:rFonts w:ascii="Arial" w:hAnsi="Arial" w:cs="Arial"/>
      <w:b/>
      <w:bCs/>
      <w:kern w:val="32"/>
      <w:sz w:val="32"/>
      <w:szCs w:val="32"/>
      <w:lang w:val="lt-LT" w:eastAsia="en-US" w:bidi="ar-SA"/>
    </w:rPr>
  </w:style>
  <w:style w:type="paragraph" w:customStyle="1" w:styleId="Sraopastraipa1">
    <w:name w:val="Sąrašo pastraipa1"/>
    <w:basedOn w:val="prastasis"/>
    <w:rsid w:val="00A34D4B"/>
    <w:pPr>
      <w:spacing w:after="200" w:line="276" w:lineRule="auto"/>
      <w:ind w:left="720"/>
    </w:pPr>
    <w:rPr>
      <w:szCs w:val="22"/>
    </w:rPr>
  </w:style>
  <w:style w:type="paragraph" w:styleId="Antrinispavadinimas">
    <w:name w:val="Subtitle"/>
    <w:basedOn w:val="prastasis"/>
    <w:next w:val="prastasis"/>
    <w:link w:val="AntrinispavadinimasDiagrama"/>
    <w:qFormat/>
    <w:rsid w:val="00750257"/>
    <w:pPr>
      <w:spacing w:after="60"/>
      <w:jc w:val="center"/>
      <w:outlineLvl w:val="1"/>
    </w:pPr>
    <w:rPr>
      <w:rFonts w:ascii="Cambria" w:hAnsi="Cambria"/>
    </w:rPr>
  </w:style>
  <w:style w:type="character" w:customStyle="1" w:styleId="AntrinispavadinimasDiagrama">
    <w:name w:val="Antrinis pavadinimas Diagrama"/>
    <w:link w:val="Antrinispavadinimas"/>
    <w:rsid w:val="00750257"/>
    <w:rPr>
      <w:rFonts w:ascii="Cambria" w:eastAsia="Times New Roman" w:hAnsi="Cambria" w:cs="Times New Roman"/>
      <w:sz w:val="24"/>
      <w:szCs w:val="24"/>
      <w:lang w:eastAsia="en-US"/>
    </w:rPr>
  </w:style>
  <w:style w:type="paragraph" w:styleId="Antrats">
    <w:name w:val="header"/>
    <w:basedOn w:val="prastasis"/>
    <w:link w:val="AntratsDiagrama"/>
    <w:uiPriority w:val="99"/>
    <w:rsid w:val="00685E45"/>
    <w:pPr>
      <w:tabs>
        <w:tab w:val="center" w:pos="4819"/>
        <w:tab w:val="right" w:pos="9638"/>
      </w:tabs>
    </w:pPr>
  </w:style>
  <w:style w:type="character" w:customStyle="1" w:styleId="AntratsDiagrama">
    <w:name w:val="Antraštės Diagrama"/>
    <w:link w:val="Antrats"/>
    <w:uiPriority w:val="99"/>
    <w:rsid w:val="00685E45"/>
    <w:rPr>
      <w:sz w:val="24"/>
      <w:szCs w:val="24"/>
      <w:lang w:eastAsia="en-US"/>
    </w:rPr>
  </w:style>
  <w:style w:type="paragraph" w:styleId="Porat">
    <w:name w:val="footer"/>
    <w:basedOn w:val="prastasis"/>
    <w:link w:val="PoratDiagrama"/>
    <w:rsid w:val="00685E45"/>
    <w:pPr>
      <w:tabs>
        <w:tab w:val="center" w:pos="4819"/>
        <w:tab w:val="right" w:pos="9638"/>
      </w:tabs>
    </w:pPr>
  </w:style>
  <w:style w:type="character" w:customStyle="1" w:styleId="PoratDiagrama">
    <w:name w:val="Poraštė Diagrama"/>
    <w:link w:val="Porat"/>
    <w:rsid w:val="00685E45"/>
    <w:rPr>
      <w:sz w:val="24"/>
      <w:szCs w:val="24"/>
      <w:lang w:eastAsia="en-US"/>
    </w:rPr>
  </w:style>
  <w:style w:type="paragraph" w:styleId="Debesliotekstas">
    <w:name w:val="Balloon Text"/>
    <w:basedOn w:val="prastasis"/>
    <w:link w:val="DebesliotekstasDiagrama"/>
    <w:rsid w:val="00167B9E"/>
    <w:rPr>
      <w:rFonts w:ascii="Tahoma" w:hAnsi="Tahoma" w:cs="Tahoma"/>
      <w:sz w:val="16"/>
      <w:szCs w:val="16"/>
    </w:rPr>
  </w:style>
  <w:style w:type="character" w:customStyle="1" w:styleId="DebesliotekstasDiagrama">
    <w:name w:val="Debesėlio tekstas Diagrama"/>
    <w:link w:val="Debesliotekstas"/>
    <w:rsid w:val="00167B9E"/>
    <w:rPr>
      <w:rFonts w:ascii="Tahoma" w:hAnsi="Tahoma" w:cs="Tahoma"/>
      <w:sz w:val="16"/>
      <w:szCs w:val="16"/>
      <w:lang w:eastAsia="en-US"/>
    </w:rPr>
  </w:style>
  <w:style w:type="paragraph" w:styleId="Sraopastraipa">
    <w:name w:val="List Paragraph"/>
    <w:basedOn w:val="prastasis"/>
    <w:uiPriority w:val="34"/>
    <w:qFormat/>
    <w:rsid w:val="00902119"/>
    <w:pPr>
      <w:spacing w:after="200" w:line="276" w:lineRule="auto"/>
      <w:ind w:left="720"/>
      <w:contextualSpacing/>
    </w:pPr>
    <w:rPr>
      <w:rFonts w:ascii="Calibri" w:eastAsia="Calibri" w:hAnsi="Calibri"/>
      <w:sz w:val="22"/>
      <w:szCs w:val="22"/>
    </w:rPr>
  </w:style>
  <w:style w:type="paragraph" w:styleId="Betarp">
    <w:name w:val="No Spacing"/>
    <w:uiPriority w:val="1"/>
    <w:qFormat/>
    <w:rsid w:val="00796B5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597234">
      <w:bodyDiv w:val="1"/>
      <w:marLeft w:val="0"/>
      <w:marRight w:val="0"/>
      <w:marTop w:val="0"/>
      <w:marBottom w:val="0"/>
      <w:divBdr>
        <w:top w:val="none" w:sz="0" w:space="0" w:color="auto"/>
        <w:left w:val="none" w:sz="0" w:space="0" w:color="auto"/>
        <w:bottom w:val="none" w:sz="0" w:space="0" w:color="auto"/>
        <w:right w:val="none" w:sz="0" w:space="0" w:color="auto"/>
      </w:divBdr>
    </w:div>
    <w:div w:id="448013477">
      <w:bodyDiv w:val="1"/>
      <w:marLeft w:val="0"/>
      <w:marRight w:val="0"/>
      <w:marTop w:val="0"/>
      <w:marBottom w:val="0"/>
      <w:divBdr>
        <w:top w:val="none" w:sz="0" w:space="0" w:color="auto"/>
        <w:left w:val="none" w:sz="0" w:space="0" w:color="auto"/>
        <w:bottom w:val="none" w:sz="0" w:space="0" w:color="auto"/>
        <w:right w:val="none" w:sz="0" w:space="0" w:color="auto"/>
      </w:divBdr>
    </w:div>
    <w:div w:id="493683591">
      <w:bodyDiv w:val="1"/>
      <w:marLeft w:val="0"/>
      <w:marRight w:val="0"/>
      <w:marTop w:val="0"/>
      <w:marBottom w:val="0"/>
      <w:divBdr>
        <w:top w:val="none" w:sz="0" w:space="0" w:color="auto"/>
        <w:left w:val="none" w:sz="0" w:space="0" w:color="auto"/>
        <w:bottom w:val="none" w:sz="0" w:space="0" w:color="auto"/>
        <w:right w:val="none" w:sz="0" w:space="0" w:color="auto"/>
      </w:divBdr>
    </w:div>
    <w:div w:id="536048144">
      <w:bodyDiv w:val="1"/>
      <w:marLeft w:val="0"/>
      <w:marRight w:val="0"/>
      <w:marTop w:val="0"/>
      <w:marBottom w:val="0"/>
      <w:divBdr>
        <w:top w:val="none" w:sz="0" w:space="0" w:color="auto"/>
        <w:left w:val="none" w:sz="0" w:space="0" w:color="auto"/>
        <w:bottom w:val="none" w:sz="0" w:space="0" w:color="auto"/>
        <w:right w:val="none" w:sz="0" w:space="0" w:color="auto"/>
      </w:divBdr>
    </w:div>
    <w:div w:id="641274891">
      <w:bodyDiv w:val="1"/>
      <w:marLeft w:val="0"/>
      <w:marRight w:val="0"/>
      <w:marTop w:val="0"/>
      <w:marBottom w:val="0"/>
      <w:divBdr>
        <w:top w:val="none" w:sz="0" w:space="0" w:color="auto"/>
        <w:left w:val="none" w:sz="0" w:space="0" w:color="auto"/>
        <w:bottom w:val="none" w:sz="0" w:space="0" w:color="auto"/>
        <w:right w:val="none" w:sz="0" w:space="0" w:color="auto"/>
      </w:divBdr>
    </w:div>
    <w:div w:id="700937458">
      <w:bodyDiv w:val="1"/>
      <w:marLeft w:val="0"/>
      <w:marRight w:val="0"/>
      <w:marTop w:val="0"/>
      <w:marBottom w:val="0"/>
      <w:divBdr>
        <w:top w:val="none" w:sz="0" w:space="0" w:color="auto"/>
        <w:left w:val="none" w:sz="0" w:space="0" w:color="auto"/>
        <w:bottom w:val="none" w:sz="0" w:space="0" w:color="auto"/>
        <w:right w:val="none" w:sz="0" w:space="0" w:color="auto"/>
      </w:divBdr>
    </w:div>
    <w:div w:id="829520319">
      <w:bodyDiv w:val="1"/>
      <w:marLeft w:val="0"/>
      <w:marRight w:val="0"/>
      <w:marTop w:val="0"/>
      <w:marBottom w:val="0"/>
      <w:divBdr>
        <w:top w:val="none" w:sz="0" w:space="0" w:color="auto"/>
        <w:left w:val="none" w:sz="0" w:space="0" w:color="auto"/>
        <w:bottom w:val="none" w:sz="0" w:space="0" w:color="auto"/>
        <w:right w:val="none" w:sz="0" w:space="0" w:color="auto"/>
      </w:divBdr>
    </w:div>
    <w:div w:id="953173245">
      <w:bodyDiv w:val="1"/>
      <w:marLeft w:val="0"/>
      <w:marRight w:val="0"/>
      <w:marTop w:val="0"/>
      <w:marBottom w:val="0"/>
      <w:divBdr>
        <w:top w:val="none" w:sz="0" w:space="0" w:color="auto"/>
        <w:left w:val="none" w:sz="0" w:space="0" w:color="auto"/>
        <w:bottom w:val="none" w:sz="0" w:space="0" w:color="auto"/>
        <w:right w:val="none" w:sz="0" w:space="0" w:color="auto"/>
      </w:divBdr>
    </w:div>
    <w:div w:id="1187520973">
      <w:bodyDiv w:val="1"/>
      <w:marLeft w:val="0"/>
      <w:marRight w:val="0"/>
      <w:marTop w:val="0"/>
      <w:marBottom w:val="0"/>
      <w:divBdr>
        <w:top w:val="none" w:sz="0" w:space="0" w:color="auto"/>
        <w:left w:val="none" w:sz="0" w:space="0" w:color="auto"/>
        <w:bottom w:val="none" w:sz="0" w:space="0" w:color="auto"/>
        <w:right w:val="none" w:sz="0" w:space="0" w:color="auto"/>
      </w:divBdr>
    </w:div>
    <w:div w:id="1233732782">
      <w:bodyDiv w:val="1"/>
      <w:marLeft w:val="0"/>
      <w:marRight w:val="0"/>
      <w:marTop w:val="0"/>
      <w:marBottom w:val="0"/>
      <w:divBdr>
        <w:top w:val="none" w:sz="0" w:space="0" w:color="auto"/>
        <w:left w:val="none" w:sz="0" w:space="0" w:color="auto"/>
        <w:bottom w:val="none" w:sz="0" w:space="0" w:color="auto"/>
        <w:right w:val="none" w:sz="0" w:space="0" w:color="auto"/>
      </w:divBdr>
    </w:div>
    <w:div w:id="1798716136">
      <w:bodyDiv w:val="1"/>
      <w:marLeft w:val="0"/>
      <w:marRight w:val="0"/>
      <w:marTop w:val="0"/>
      <w:marBottom w:val="0"/>
      <w:divBdr>
        <w:top w:val="none" w:sz="0" w:space="0" w:color="auto"/>
        <w:left w:val="none" w:sz="0" w:space="0" w:color="auto"/>
        <w:bottom w:val="none" w:sz="0" w:space="0" w:color="auto"/>
        <w:right w:val="none" w:sz="0" w:space="0" w:color="auto"/>
      </w:divBdr>
    </w:div>
    <w:div w:id="1994329681">
      <w:bodyDiv w:val="1"/>
      <w:marLeft w:val="0"/>
      <w:marRight w:val="0"/>
      <w:marTop w:val="0"/>
      <w:marBottom w:val="0"/>
      <w:divBdr>
        <w:top w:val="none" w:sz="0" w:space="0" w:color="auto"/>
        <w:left w:val="none" w:sz="0" w:space="0" w:color="auto"/>
        <w:bottom w:val="none" w:sz="0" w:space="0" w:color="auto"/>
        <w:right w:val="none" w:sz="0" w:space="0" w:color="auto"/>
      </w:divBdr>
    </w:div>
    <w:div w:id="2037462593">
      <w:bodyDiv w:val="1"/>
      <w:marLeft w:val="0"/>
      <w:marRight w:val="0"/>
      <w:marTop w:val="0"/>
      <w:marBottom w:val="0"/>
      <w:divBdr>
        <w:top w:val="none" w:sz="0" w:space="0" w:color="auto"/>
        <w:left w:val="none" w:sz="0" w:space="0" w:color="auto"/>
        <w:bottom w:val="none" w:sz="0" w:space="0" w:color="auto"/>
        <w:right w:val="none" w:sz="0" w:space="0" w:color="auto"/>
      </w:divBdr>
    </w:div>
    <w:div w:id="214338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EG\Documents\Stendui\Realizacija.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EG\Documents\Stendui\Realizacija.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EG\Documents\Stendui\Realizacija.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EG\Documents\Stendui\Realizacija.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149692354029517E-2"/>
          <c:y val="0.10018158201675326"/>
          <c:w val="0.89204830022178672"/>
          <c:h val="0.705446505745425"/>
        </c:manualLayout>
      </c:layout>
      <c:barChart>
        <c:barDir val="col"/>
        <c:grouping val="stacked"/>
        <c:varyColors val="0"/>
        <c:ser>
          <c:idx val="1"/>
          <c:order val="1"/>
          <c:tx>
            <c:strRef>
              <c:f>Lapas2!$B$7</c:f>
              <c:strCache>
                <c:ptCount val="1"/>
                <c:pt idx="0">
                  <c:v>Realizacija</c:v>
                </c:pt>
              </c:strCache>
            </c:strRef>
          </c:tx>
          <c:invertIfNegative val="0"/>
          <c:cat>
            <c:strRef>
              <c:f>Lapas2!$L$3:$O$3</c:f>
              <c:strCache>
                <c:ptCount val="4"/>
                <c:pt idx="0">
                  <c:v>2012 m.</c:v>
                </c:pt>
                <c:pt idx="1">
                  <c:v>2013 m.</c:v>
                </c:pt>
                <c:pt idx="2">
                  <c:v>2014 m.</c:v>
                </c:pt>
                <c:pt idx="3">
                  <c:v>2015 m.</c:v>
                </c:pt>
              </c:strCache>
            </c:strRef>
          </c:cat>
          <c:val>
            <c:numRef>
              <c:f>Lapas2!$L$7:$O$7</c:f>
              <c:numCache>
                <c:formatCode>General</c:formatCode>
                <c:ptCount val="4"/>
                <c:pt idx="0">
                  <c:v>40.505000000000003</c:v>
                </c:pt>
                <c:pt idx="1">
                  <c:v>39.090000000000003</c:v>
                </c:pt>
                <c:pt idx="2">
                  <c:v>36.887999999999998</c:v>
                </c:pt>
                <c:pt idx="3">
                  <c:v>36.444000000000003</c:v>
                </c:pt>
              </c:numCache>
            </c:numRef>
          </c:val>
        </c:ser>
        <c:ser>
          <c:idx val="2"/>
          <c:order val="2"/>
          <c:tx>
            <c:strRef>
              <c:f>Lapas2!$B$18</c:f>
              <c:strCache>
                <c:ptCount val="1"/>
                <c:pt idx="0">
                  <c:v>Technologiniai nuostoliai</c:v>
                </c:pt>
              </c:strCache>
            </c:strRef>
          </c:tx>
          <c:invertIfNegative val="0"/>
          <c:dLbls>
            <c:dLbl>
              <c:idx val="0"/>
              <c:tx>
                <c:rich>
                  <a:bodyPr/>
                  <a:lstStyle/>
                  <a:p>
                    <a:r>
                      <a:rPr lang="en-US"/>
                      <a:t>19,1 %</a:t>
                    </a:r>
                  </a:p>
                </c:rich>
              </c:tx>
              <c:dLblPos val="ctr"/>
              <c:showLegendKey val="0"/>
              <c:showVal val="1"/>
              <c:showCatName val="0"/>
              <c:showSerName val="0"/>
              <c:showPercent val="0"/>
              <c:showBubbleSize val="0"/>
            </c:dLbl>
            <c:dLbl>
              <c:idx val="1"/>
              <c:tx>
                <c:rich>
                  <a:bodyPr/>
                  <a:lstStyle/>
                  <a:p>
                    <a:r>
                      <a:rPr lang="en-US"/>
                      <a:t>17,9 %</a:t>
                    </a:r>
                  </a:p>
                </c:rich>
              </c:tx>
              <c:dLblPos val="ctr"/>
              <c:showLegendKey val="0"/>
              <c:showVal val="1"/>
              <c:showCatName val="0"/>
              <c:showSerName val="0"/>
              <c:showPercent val="0"/>
              <c:showBubbleSize val="0"/>
            </c:dLbl>
            <c:dLbl>
              <c:idx val="2"/>
              <c:tx>
                <c:rich>
                  <a:bodyPr/>
                  <a:lstStyle/>
                  <a:p>
                    <a:r>
                      <a:rPr lang="en-US"/>
                      <a:t>16,0 %</a:t>
                    </a:r>
                  </a:p>
                </c:rich>
              </c:tx>
              <c:dLblPos val="ctr"/>
              <c:showLegendKey val="0"/>
              <c:showVal val="1"/>
              <c:showCatName val="0"/>
              <c:showSerName val="0"/>
              <c:showPercent val="0"/>
              <c:showBubbleSize val="0"/>
            </c:dLbl>
            <c:dLbl>
              <c:idx val="3"/>
              <c:tx>
                <c:rich>
                  <a:bodyPr/>
                  <a:lstStyle/>
                  <a:p>
                    <a:r>
                      <a:rPr lang="en-US"/>
                      <a:t>16,7 %</a:t>
                    </a:r>
                  </a:p>
                </c:rich>
              </c:tx>
              <c:dLblPos val="ctr"/>
              <c:showLegendKey val="0"/>
              <c:showVal val="1"/>
              <c:showCatName val="0"/>
              <c:showSerName val="0"/>
              <c:showPercent val="0"/>
              <c:showBubbleSize val="0"/>
            </c:dLbl>
            <c:dLblPos val="ctr"/>
            <c:showLegendKey val="0"/>
            <c:showVal val="1"/>
            <c:showCatName val="0"/>
            <c:showSerName val="0"/>
            <c:showPercent val="0"/>
            <c:showBubbleSize val="0"/>
            <c:showLeaderLines val="0"/>
          </c:dLbls>
          <c:cat>
            <c:strRef>
              <c:f>Lapas2!$L$3:$O$3</c:f>
              <c:strCache>
                <c:ptCount val="4"/>
                <c:pt idx="0">
                  <c:v>2012 m.</c:v>
                </c:pt>
                <c:pt idx="1">
                  <c:v>2013 m.</c:v>
                </c:pt>
                <c:pt idx="2">
                  <c:v>2014 m.</c:v>
                </c:pt>
                <c:pt idx="3">
                  <c:v>2015 m.</c:v>
                </c:pt>
              </c:strCache>
            </c:strRef>
          </c:cat>
          <c:val>
            <c:numRef>
              <c:f>Lapas2!$L$18:$O$18</c:f>
              <c:numCache>
                <c:formatCode>General</c:formatCode>
                <c:ptCount val="4"/>
                <c:pt idx="0" formatCode="#.000">
                  <c:v>9.5779999999999994</c:v>
                </c:pt>
                <c:pt idx="1">
                  <c:v>8.58</c:v>
                </c:pt>
                <c:pt idx="2">
                  <c:v>7.0549999999999997</c:v>
                </c:pt>
                <c:pt idx="3">
                  <c:v>7.32</c:v>
                </c:pt>
              </c:numCache>
            </c:numRef>
          </c:val>
        </c:ser>
        <c:dLbls>
          <c:showLegendKey val="0"/>
          <c:showVal val="0"/>
          <c:showCatName val="0"/>
          <c:showSerName val="0"/>
          <c:showPercent val="0"/>
          <c:showBubbleSize val="0"/>
        </c:dLbls>
        <c:gapWidth val="150"/>
        <c:overlap val="100"/>
        <c:axId val="117616640"/>
        <c:axId val="117618176"/>
      </c:barChart>
      <c:lineChart>
        <c:grouping val="standard"/>
        <c:varyColors val="0"/>
        <c:ser>
          <c:idx val="0"/>
          <c:order val="0"/>
          <c:tx>
            <c:strRef>
              <c:f>Lapas2!$B$6</c:f>
              <c:strCache>
                <c:ptCount val="1"/>
                <c:pt idx="0">
                  <c:v>Vidutinė šildymo sezono lauko oro temperatūra</c:v>
                </c:pt>
              </c:strCache>
            </c:strRef>
          </c:tx>
          <c:marker>
            <c:symbol val="square"/>
            <c:size val="6"/>
          </c:marker>
          <c:dLbls>
            <c:dLblPos val="b"/>
            <c:showLegendKey val="0"/>
            <c:showVal val="1"/>
            <c:showCatName val="0"/>
            <c:showSerName val="0"/>
            <c:showPercent val="0"/>
            <c:showBubbleSize val="0"/>
            <c:showLeaderLines val="0"/>
          </c:dLbls>
          <c:cat>
            <c:strRef>
              <c:f>Lapas2!$L$3:$O$3</c:f>
              <c:strCache>
                <c:ptCount val="4"/>
                <c:pt idx="0">
                  <c:v>2012 m.</c:v>
                </c:pt>
                <c:pt idx="1">
                  <c:v>2013 m.</c:v>
                </c:pt>
                <c:pt idx="2">
                  <c:v>2014 m.</c:v>
                </c:pt>
                <c:pt idx="3">
                  <c:v>2015 m.</c:v>
                </c:pt>
              </c:strCache>
            </c:strRef>
          </c:cat>
          <c:val>
            <c:numRef>
              <c:f>Lapas2!$L$6:$O$6</c:f>
              <c:numCache>
                <c:formatCode>General</c:formatCode>
                <c:ptCount val="4"/>
                <c:pt idx="0">
                  <c:v>0.35</c:v>
                </c:pt>
                <c:pt idx="1">
                  <c:v>1.39</c:v>
                </c:pt>
                <c:pt idx="2">
                  <c:v>1.58</c:v>
                </c:pt>
                <c:pt idx="3">
                  <c:v>3.22</c:v>
                </c:pt>
              </c:numCache>
            </c:numRef>
          </c:val>
          <c:smooth val="0"/>
        </c:ser>
        <c:dLbls>
          <c:showLegendKey val="0"/>
          <c:showVal val="0"/>
          <c:showCatName val="0"/>
          <c:showSerName val="0"/>
          <c:showPercent val="0"/>
          <c:showBubbleSize val="0"/>
        </c:dLbls>
        <c:marker val="1"/>
        <c:smooth val="0"/>
        <c:axId val="117634560"/>
        <c:axId val="117620096"/>
      </c:lineChart>
      <c:catAx>
        <c:axId val="117616640"/>
        <c:scaling>
          <c:orientation val="minMax"/>
        </c:scaling>
        <c:delete val="0"/>
        <c:axPos val="b"/>
        <c:majorTickMark val="out"/>
        <c:minorTickMark val="none"/>
        <c:tickLblPos val="nextTo"/>
        <c:crossAx val="117618176"/>
        <c:crosses val="autoZero"/>
        <c:auto val="1"/>
        <c:lblAlgn val="ctr"/>
        <c:lblOffset val="100"/>
        <c:noMultiLvlLbl val="0"/>
      </c:catAx>
      <c:valAx>
        <c:axId val="117618176"/>
        <c:scaling>
          <c:orientation val="minMax"/>
        </c:scaling>
        <c:delete val="0"/>
        <c:axPos val="l"/>
        <c:majorGridlines/>
        <c:title>
          <c:tx>
            <c:rich>
              <a:bodyPr rot="0" vert="horz"/>
              <a:lstStyle/>
              <a:p>
                <a:pPr>
                  <a:defRPr/>
                </a:pPr>
                <a:r>
                  <a:rPr lang="en-US"/>
                  <a:t>GWh</a:t>
                </a:r>
                <a:endParaRPr lang="lt-LT"/>
              </a:p>
            </c:rich>
          </c:tx>
          <c:layout>
            <c:manualLayout>
              <c:xMode val="edge"/>
              <c:yMode val="edge"/>
              <c:x val="1.1494254607393522E-2"/>
              <c:y val="2.1315277323577159E-2"/>
            </c:manualLayout>
          </c:layout>
          <c:overlay val="0"/>
        </c:title>
        <c:numFmt formatCode="General" sourceLinked="1"/>
        <c:majorTickMark val="out"/>
        <c:minorTickMark val="none"/>
        <c:tickLblPos val="nextTo"/>
        <c:crossAx val="117616640"/>
        <c:crosses val="autoZero"/>
        <c:crossBetween val="between"/>
      </c:valAx>
      <c:valAx>
        <c:axId val="117620096"/>
        <c:scaling>
          <c:orientation val="minMax"/>
        </c:scaling>
        <c:delete val="0"/>
        <c:axPos val="r"/>
        <c:title>
          <c:tx>
            <c:rich>
              <a:bodyPr rot="0" vert="horz"/>
              <a:lstStyle/>
              <a:p>
                <a:pPr>
                  <a:defRPr/>
                </a:pPr>
                <a:r>
                  <a:rPr lang="en-US" baseline="30000"/>
                  <a:t>0</a:t>
                </a:r>
                <a:r>
                  <a:rPr lang="en-US"/>
                  <a:t>C</a:t>
                </a:r>
                <a:endParaRPr lang="lt-LT"/>
              </a:p>
            </c:rich>
          </c:tx>
          <c:layout>
            <c:manualLayout>
              <c:xMode val="edge"/>
              <c:yMode val="edge"/>
              <c:x val="0.93153510058634625"/>
              <c:y val="2.9596739514653348E-2"/>
            </c:manualLayout>
          </c:layout>
          <c:overlay val="0"/>
        </c:title>
        <c:numFmt formatCode="General" sourceLinked="1"/>
        <c:majorTickMark val="out"/>
        <c:minorTickMark val="none"/>
        <c:tickLblPos val="nextTo"/>
        <c:crossAx val="117634560"/>
        <c:crosses val="max"/>
        <c:crossBetween val="between"/>
        <c:majorUnit val="0.5"/>
      </c:valAx>
      <c:catAx>
        <c:axId val="117634560"/>
        <c:scaling>
          <c:orientation val="minMax"/>
        </c:scaling>
        <c:delete val="1"/>
        <c:axPos val="b"/>
        <c:majorTickMark val="out"/>
        <c:minorTickMark val="none"/>
        <c:tickLblPos val="nextTo"/>
        <c:crossAx val="117620096"/>
        <c:crosses val="autoZero"/>
        <c:auto val="1"/>
        <c:lblAlgn val="ctr"/>
        <c:lblOffset val="100"/>
        <c:noMultiLvlLbl val="0"/>
      </c:catAx>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2768993225931597E-2"/>
          <c:y val="0.10973779097284971"/>
          <c:w val="0.86777677380491369"/>
          <c:h val="0.70427523736313968"/>
        </c:manualLayout>
      </c:layout>
      <c:barChart>
        <c:barDir val="col"/>
        <c:grouping val="clustered"/>
        <c:varyColors val="0"/>
        <c:ser>
          <c:idx val="2"/>
          <c:order val="0"/>
          <c:tx>
            <c:strRef>
              <c:f>Lapas2!$L$3</c:f>
              <c:strCache>
                <c:ptCount val="1"/>
                <c:pt idx="0">
                  <c:v>2012 m.</c:v>
                </c:pt>
              </c:strCache>
            </c:strRef>
          </c:tx>
          <c:invertIfNegative val="0"/>
          <c:dLbls>
            <c:txPr>
              <a:bodyPr/>
              <a:lstStyle/>
              <a:p>
                <a:pPr>
                  <a:defRPr sz="800"/>
                </a:pPr>
                <a:endParaRPr lang="lt-LT"/>
              </a:p>
            </c:txPr>
            <c:dLblPos val="inEnd"/>
            <c:showLegendKey val="0"/>
            <c:showVal val="1"/>
            <c:showCatName val="0"/>
            <c:showSerName val="0"/>
            <c:showPercent val="0"/>
            <c:showBubbleSize val="0"/>
            <c:showLeaderLines val="0"/>
          </c:dLbls>
          <c:cat>
            <c:strRef>
              <c:f>Lapas2!$B$11:$B$13</c:f>
              <c:strCache>
                <c:ptCount val="3"/>
                <c:pt idx="0">
                  <c:v>Gyvenamieji namai</c:v>
                </c:pt>
                <c:pt idx="1">
                  <c:v>Biudžetinės įstaigos</c:v>
                </c:pt>
                <c:pt idx="2">
                  <c:v>Verslo įmonės</c:v>
                </c:pt>
              </c:strCache>
            </c:strRef>
          </c:cat>
          <c:val>
            <c:numRef>
              <c:f>Lapas2!$L$11:$L$13</c:f>
              <c:numCache>
                <c:formatCode>General</c:formatCode>
                <c:ptCount val="3"/>
                <c:pt idx="0">
                  <c:v>17.350000000000001</c:v>
                </c:pt>
                <c:pt idx="1">
                  <c:v>18.93</c:v>
                </c:pt>
                <c:pt idx="2">
                  <c:v>19.36</c:v>
                </c:pt>
              </c:numCache>
            </c:numRef>
          </c:val>
        </c:ser>
        <c:ser>
          <c:idx val="1"/>
          <c:order val="1"/>
          <c:tx>
            <c:strRef>
              <c:f>Lapas2!$M$3</c:f>
              <c:strCache>
                <c:ptCount val="1"/>
                <c:pt idx="0">
                  <c:v>2013 m.</c:v>
                </c:pt>
              </c:strCache>
            </c:strRef>
          </c:tx>
          <c:invertIfNegative val="0"/>
          <c:dLbls>
            <c:txPr>
              <a:bodyPr/>
              <a:lstStyle/>
              <a:p>
                <a:pPr>
                  <a:defRPr sz="800"/>
                </a:pPr>
                <a:endParaRPr lang="lt-LT"/>
              </a:p>
            </c:txPr>
            <c:dLblPos val="inEnd"/>
            <c:showLegendKey val="0"/>
            <c:showVal val="1"/>
            <c:showCatName val="0"/>
            <c:showSerName val="0"/>
            <c:showPercent val="0"/>
            <c:showBubbleSize val="0"/>
            <c:showLeaderLines val="0"/>
          </c:dLbls>
          <c:cat>
            <c:strRef>
              <c:f>Lapas2!$B$11:$B$13</c:f>
              <c:strCache>
                <c:ptCount val="3"/>
                <c:pt idx="0">
                  <c:v>Gyvenamieji namai</c:v>
                </c:pt>
                <c:pt idx="1">
                  <c:v>Biudžetinės įstaigos</c:v>
                </c:pt>
                <c:pt idx="2">
                  <c:v>Verslo įmonės</c:v>
                </c:pt>
              </c:strCache>
            </c:strRef>
          </c:cat>
          <c:val>
            <c:numRef>
              <c:f>Lapas2!$M$11:$M$13</c:f>
              <c:numCache>
                <c:formatCode>General</c:formatCode>
                <c:ptCount val="3"/>
                <c:pt idx="0" formatCode="#.000">
                  <c:v>16.600000000000001</c:v>
                </c:pt>
                <c:pt idx="1">
                  <c:v>16.739999999999998</c:v>
                </c:pt>
                <c:pt idx="2">
                  <c:v>17.920000000000002</c:v>
                </c:pt>
              </c:numCache>
            </c:numRef>
          </c:val>
        </c:ser>
        <c:ser>
          <c:idx val="3"/>
          <c:order val="2"/>
          <c:tx>
            <c:strRef>
              <c:f>Lapas2!$N$3</c:f>
              <c:strCache>
                <c:ptCount val="1"/>
                <c:pt idx="0">
                  <c:v>2014 m.</c:v>
                </c:pt>
              </c:strCache>
            </c:strRef>
          </c:tx>
          <c:spPr>
            <a:solidFill>
              <a:schemeClr val="accent1"/>
            </a:solidFill>
          </c:spPr>
          <c:invertIfNegative val="0"/>
          <c:dLbls>
            <c:txPr>
              <a:bodyPr/>
              <a:lstStyle/>
              <a:p>
                <a:pPr>
                  <a:defRPr sz="800"/>
                </a:pPr>
                <a:endParaRPr lang="lt-LT"/>
              </a:p>
            </c:txPr>
            <c:dLblPos val="inEnd"/>
            <c:showLegendKey val="0"/>
            <c:showVal val="1"/>
            <c:showCatName val="0"/>
            <c:showSerName val="0"/>
            <c:showPercent val="0"/>
            <c:showBubbleSize val="0"/>
            <c:showLeaderLines val="0"/>
          </c:dLbls>
          <c:cat>
            <c:strRef>
              <c:f>Lapas2!$B$11:$B$13</c:f>
              <c:strCache>
                <c:ptCount val="3"/>
                <c:pt idx="0">
                  <c:v>Gyvenamieji namai</c:v>
                </c:pt>
                <c:pt idx="1">
                  <c:v>Biudžetinės įstaigos</c:v>
                </c:pt>
                <c:pt idx="2">
                  <c:v>Verslo įmonės</c:v>
                </c:pt>
              </c:strCache>
            </c:strRef>
          </c:cat>
          <c:val>
            <c:numRef>
              <c:f>Lapas2!$N$11:$N$13</c:f>
              <c:numCache>
                <c:formatCode>General</c:formatCode>
                <c:ptCount val="3"/>
                <c:pt idx="0" formatCode="#.000">
                  <c:v>16.2</c:v>
                </c:pt>
                <c:pt idx="1">
                  <c:v>17.420000000000002</c:v>
                </c:pt>
                <c:pt idx="2">
                  <c:v>17.350000000000001</c:v>
                </c:pt>
              </c:numCache>
            </c:numRef>
          </c:val>
        </c:ser>
        <c:ser>
          <c:idx val="0"/>
          <c:order val="3"/>
          <c:tx>
            <c:strRef>
              <c:f>Lapas2!$O$3</c:f>
              <c:strCache>
                <c:ptCount val="1"/>
                <c:pt idx="0">
                  <c:v>2015 m.</c:v>
                </c:pt>
              </c:strCache>
            </c:strRef>
          </c:tx>
          <c:spPr>
            <a:solidFill>
              <a:schemeClr val="bg2">
                <a:lumMod val="75000"/>
              </a:schemeClr>
            </a:solidFill>
          </c:spPr>
          <c:invertIfNegative val="0"/>
          <c:dLbls>
            <c:txPr>
              <a:bodyPr/>
              <a:lstStyle/>
              <a:p>
                <a:pPr>
                  <a:defRPr sz="800"/>
                </a:pPr>
                <a:endParaRPr lang="lt-LT"/>
              </a:p>
            </c:txPr>
            <c:dLblPos val="inEnd"/>
            <c:showLegendKey val="0"/>
            <c:showVal val="1"/>
            <c:showCatName val="0"/>
            <c:showSerName val="0"/>
            <c:showPercent val="0"/>
            <c:showBubbleSize val="0"/>
            <c:showLeaderLines val="0"/>
          </c:dLbls>
          <c:val>
            <c:numRef>
              <c:f>Lapas2!$O$11:$O$13</c:f>
              <c:numCache>
                <c:formatCode>General</c:formatCode>
                <c:ptCount val="3"/>
                <c:pt idx="0" formatCode="#.000">
                  <c:v>13.69</c:v>
                </c:pt>
                <c:pt idx="1">
                  <c:v>15.34</c:v>
                </c:pt>
                <c:pt idx="2">
                  <c:v>13.95</c:v>
                </c:pt>
              </c:numCache>
            </c:numRef>
          </c:val>
        </c:ser>
        <c:dLbls>
          <c:showLegendKey val="0"/>
          <c:showVal val="1"/>
          <c:showCatName val="0"/>
          <c:showSerName val="0"/>
          <c:showPercent val="0"/>
          <c:showBubbleSize val="0"/>
        </c:dLbls>
        <c:gapWidth val="150"/>
        <c:axId val="119768192"/>
        <c:axId val="119769728"/>
      </c:barChart>
      <c:catAx>
        <c:axId val="119768192"/>
        <c:scaling>
          <c:orientation val="minMax"/>
        </c:scaling>
        <c:delete val="0"/>
        <c:axPos val="b"/>
        <c:majorTickMark val="out"/>
        <c:minorTickMark val="none"/>
        <c:tickLblPos val="nextTo"/>
        <c:crossAx val="119769728"/>
        <c:crosses val="autoZero"/>
        <c:auto val="1"/>
        <c:lblAlgn val="ctr"/>
        <c:lblOffset val="100"/>
        <c:noMultiLvlLbl val="0"/>
      </c:catAx>
      <c:valAx>
        <c:axId val="119769728"/>
        <c:scaling>
          <c:orientation val="minMax"/>
        </c:scaling>
        <c:delete val="0"/>
        <c:axPos val="l"/>
        <c:majorGridlines>
          <c:spPr>
            <a:ln w="3175">
              <a:solidFill>
                <a:schemeClr val="bg1">
                  <a:lumMod val="65000"/>
                </a:schemeClr>
              </a:solidFill>
              <a:prstDash val="sysDot"/>
            </a:ln>
          </c:spPr>
        </c:majorGridlines>
        <c:title>
          <c:tx>
            <c:rich>
              <a:bodyPr rot="0" vert="horz"/>
              <a:lstStyle/>
              <a:p>
                <a:pPr>
                  <a:defRPr/>
                </a:pPr>
                <a:r>
                  <a:rPr lang="lt-LT"/>
                  <a:t>kWh/m</a:t>
                </a:r>
                <a:r>
                  <a:rPr lang="lt-LT" baseline="30000"/>
                  <a:t>2</a:t>
                </a:r>
              </a:p>
            </c:rich>
          </c:tx>
          <c:layout>
            <c:manualLayout>
              <c:xMode val="edge"/>
              <c:yMode val="edge"/>
              <c:x val="4.5378426057398558E-2"/>
              <c:y val="3.8040706653093163E-2"/>
            </c:manualLayout>
          </c:layout>
          <c:overlay val="0"/>
        </c:title>
        <c:numFmt formatCode="General" sourceLinked="1"/>
        <c:majorTickMark val="out"/>
        <c:minorTickMark val="none"/>
        <c:tickLblPos val="nextTo"/>
        <c:crossAx val="119768192"/>
        <c:crosses val="autoZero"/>
        <c:crossBetween val="between"/>
      </c:valAx>
    </c:plotArea>
    <c:legend>
      <c:legendPos val="b"/>
      <c:layout>
        <c:manualLayout>
          <c:xMode val="edge"/>
          <c:yMode val="edge"/>
          <c:x val="0.20974916237900579"/>
          <c:y val="0.9103266607982895"/>
          <c:w val="0.58050167524198837"/>
          <c:h val="5.6219199251891665E-2"/>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8434583094331729E-2"/>
          <c:y val="0.10232648002333045"/>
          <c:w val="0.82257096174236455"/>
          <c:h val="0.64785068533100065"/>
        </c:manualLayout>
      </c:layout>
      <c:barChart>
        <c:barDir val="col"/>
        <c:grouping val="stacked"/>
        <c:varyColors val="0"/>
        <c:ser>
          <c:idx val="0"/>
          <c:order val="0"/>
          <c:tx>
            <c:strRef>
              <c:f>Lapas3!$B$31</c:f>
              <c:strCache>
                <c:ptCount val="1"/>
                <c:pt idx="0">
                  <c:v>Sąnaudų už kurą dalis</c:v>
                </c:pt>
              </c:strCache>
            </c:strRef>
          </c:tx>
          <c:invertIfNegative val="0"/>
          <c:cat>
            <c:multiLvlStrRef>
              <c:f>Lapas3!$C$28:$H$29</c:f>
              <c:multiLvlStrCache>
                <c:ptCount val="6"/>
                <c:lvl>
                  <c:pt idx="0">
                    <c:v>2014 m.</c:v>
                  </c:pt>
                  <c:pt idx="1">
                    <c:v>2015 m.</c:v>
                  </c:pt>
                  <c:pt idx="2">
                    <c:v>2014 m.</c:v>
                  </c:pt>
                  <c:pt idx="3">
                    <c:v>2015 m.</c:v>
                  </c:pt>
                  <c:pt idx="4">
                    <c:v>2014 m.</c:v>
                  </c:pt>
                  <c:pt idx="5">
                    <c:v>2015 m.</c:v>
                  </c:pt>
                </c:lvl>
                <c:lvl>
                  <c:pt idx="0">
                    <c:v>Pagrindinės katilinės</c:v>
                  </c:pt>
                  <c:pt idx="2">
                    <c:v>Perduotos katilinės</c:v>
                  </c:pt>
                  <c:pt idx="4">
                    <c:v>Bendra</c:v>
                  </c:pt>
                </c:lvl>
              </c:multiLvlStrCache>
            </c:multiLvlStrRef>
          </c:cat>
          <c:val>
            <c:numRef>
              <c:f>Lapas3!$C$31:$H$31</c:f>
              <c:numCache>
                <c:formatCode>General</c:formatCode>
                <c:ptCount val="6"/>
                <c:pt idx="0">
                  <c:v>2.23</c:v>
                </c:pt>
                <c:pt idx="1">
                  <c:v>2.27</c:v>
                </c:pt>
                <c:pt idx="2">
                  <c:v>4.4000000000000004</c:v>
                </c:pt>
                <c:pt idx="3">
                  <c:v>4.12</c:v>
                </c:pt>
                <c:pt idx="4" formatCode="#.000">
                  <c:v>2.5</c:v>
                </c:pt>
                <c:pt idx="5">
                  <c:v>2.52</c:v>
                </c:pt>
              </c:numCache>
            </c:numRef>
          </c:val>
        </c:ser>
        <c:ser>
          <c:idx val="1"/>
          <c:order val="1"/>
          <c:tx>
            <c:strRef>
              <c:f>Lapas3!$B$32</c:f>
              <c:strCache>
                <c:ptCount val="1"/>
                <c:pt idx="0">
                  <c:v>Kitų sąnaudų dalis</c:v>
                </c:pt>
              </c:strCache>
            </c:strRef>
          </c:tx>
          <c:invertIfNegative val="0"/>
          <c:cat>
            <c:multiLvlStrRef>
              <c:f>Lapas3!$C$28:$H$29</c:f>
              <c:multiLvlStrCache>
                <c:ptCount val="6"/>
                <c:lvl>
                  <c:pt idx="0">
                    <c:v>2014 m.</c:v>
                  </c:pt>
                  <c:pt idx="1">
                    <c:v>2015 m.</c:v>
                  </c:pt>
                  <c:pt idx="2">
                    <c:v>2014 m.</c:v>
                  </c:pt>
                  <c:pt idx="3">
                    <c:v>2015 m.</c:v>
                  </c:pt>
                  <c:pt idx="4">
                    <c:v>2014 m.</c:v>
                  </c:pt>
                  <c:pt idx="5">
                    <c:v>2015 m.</c:v>
                  </c:pt>
                </c:lvl>
                <c:lvl>
                  <c:pt idx="0">
                    <c:v>Pagrindinės katilinės</c:v>
                  </c:pt>
                  <c:pt idx="2">
                    <c:v>Perduotos katilinės</c:v>
                  </c:pt>
                  <c:pt idx="4">
                    <c:v>Bendra</c:v>
                  </c:pt>
                </c:lvl>
              </c:multiLvlStrCache>
            </c:multiLvlStrRef>
          </c:cat>
          <c:val>
            <c:numRef>
              <c:f>Lapas3!$C$32:$H$32</c:f>
              <c:numCache>
                <c:formatCode>General</c:formatCode>
                <c:ptCount val="6"/>
                <c:pt idx="0">
                  <c:v>3.2100000000000004</c:v>
                </c:pt>
                <c:pt idx="1">
                  <c:v>3.5799999999999996</c:v>
                </c:pt>
                <c:pt idx="2">
                  <c:v>4.2199999999999989</c:v>
                </c:pt>
                <c:pt idx="3">
                  <c:v>4.04</c:v>
                </c:pt>
                <c:pt idx="4">
                  <c:v>3.34</c:v>
                </c:pt>
                <c:pt idx="5">
                  <c:v>3.64</c:v>
                </c:pt>
              </c:numCache>
            </c:numRef>
          </c:val>
        </c:ser>
        <c:dLbls>
          <c:showLegendKey val="0"/>
          <c:showVal val="1"/>
          <c:showCatName val="0"/>
          <c:showSerName val="0"/>
          <c:showPercent val="0"/>
          <c:showBubbleSize val="0"/>
        </c:dLbls>
        <c:gapWidth val="150"/>
        <c:overlap val="100"/>
        <c:axId val="119955840"/>
        <c:axId val="119957376"/>
      </c:barChart>
      <c:catAx>
        <c:axId val="119955840"/>
        <c:scaling>
          <c:orientation val="minMax"/>
        </c:scaling>
        <c:delete val="0"/>
        <c:axPos val="b"/>
        <c:majorTickMark val="out"/>
        <c:minorTickMark val="none"/>
        <c:tickLblPos val="nextTo"/>
        <c:crossAx val="119957376"/>
        <c:crosses val="autoZero"/>
        <c:auto val="1"/>
        <c:lblAlgn val="ctr"/>
        <c:lblOffset val="100"/>
        <c:noMultiLvlLbl val="0"/>
      </c:catAx>
      <c:valAx>
        <c:axId val="119957376"/>
        <c:scaling>
          <c:orientation val="minMax"/>
        </c:scaling>
        <c:delete val="0"/>
        <c:axPos val="l"/>
        <c:majorGridlines>
          <c:spPr>
            <a:ln>
              <a:solidFill>
                <a:schemeClr val="bg1">
                  <a:lumMod val="85000"/>
                </a:schemeClr>
              </a:solidFill>
              <a:prstDash val="sysDot"/>
            </a:ln>
          </c:spPr>
        </c:majorGridlines>
        <c:title>
          <c:tx>
            <c:rich>
              <a:bodyPr rot="0" vert="horz"/>
              <a:lstStyle/>
              <a:p>
                <a:pPr>
                  <a:defRPr/>
                </a:pPr>
                <a:r>
                  <a:rPr lang="en-US"/>
                  <a:t>ct/kWh</a:t>
                </a:r>
                <a:endParaRPr lang="lt-LT"/>
              </a:p>
            </c:rich>
          </c:tx>
          <c:layout>
            <c:manualLayout>
              <c:xMode val="edge"/>
              <c:yMode val="edge"/>
              <c:x val="7.0640176600441501E-2"/>
              <c:y val="4.4808982210557012E-3"/>
            </c:manualLayout>
          </c:layout>
          <c:overlay val="0"/>
        </c:title>
        <c:numFmt formatCode="General" sourceLinked="1"/>
        <c:majorTickMark val="out"/>
        <c:minorTickMark val="none"/>
        <c:tickLblPos val="nextTo"/>
        <c:crossAx val="119955840"/>
        <c:crosses val="autoZero"/>
        <c:crossBetween val="between"/>
        <c:majorUnit val="2"/>
      </c:valAx>
    </c:plotArea>
    <c:legend>
      <c:legendPos val="r"/>
      <c:layout>
        <c:manualLayout>
          <c:xMode val="edge"/>
          <c:yMode val="edge"/>
          <c:x val="0.68480245432897058"/>
          <c:y val="8.8754009915427232E-3"/>
          <c:w val="0.23131233595800524"/>
          <c:h val="0.17669364246135899"/>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2690811546766103E-2"/>
          <c:y val="0.17464060794053635"/>
          <c:w val="0.87311385725290491"/>
          <c:h val="0.65329862692783236"/>
        </c:manualLayout>
      </c:layout>
      <c:barChart>
        <c:barDir val="col"/>
        <c:grouping val="clustered"/>
        <c:varyColors val="0"/>
        <c:ser>
          <c:idx val="0"/>
          <c:order val="0"/>
          <c:tx>
            <c:strRef>
              <c:f>Lapas2!$C$28</c:f>
              <c:strCache>
                <c:ptCount val="1"/>
                <c:pt idx="0">
                  <c:v>2014 m.</c:v>
                </c:pt>
              </c:strCache>
            </c:strRef>
          </c:tx>
          <c:invertIfNegative val="0"/>
          <c:dLbls>
            <c:txPr>
              <a:bodyPr/>
              <a:lstStyle/>
              <a:p>
                <a:pPr>
                  <a:defRPr sz="900" b="0"/>
                </a:pPr>
                <a:endParaRPr lang="lt-LT"/>
              </a:p>
            </c:txPr>
            <c:dLblPos val="inEnd"/>
            <c:showLegendKey val="0"/>
            <c:showVal val="1"/>
            <c:showCatName val="0"/>
            <c:showSerName val="0"/>
            <c:showPercent val="0"/>
            <c:showBubbleSize val="0"/>
            <c:showLeaderLines val="0"/>
          </c:dLbls>
          <c:cat>
            <c:strRef>
              <c:f>Lapas2!$B$29:$B$34</c:f>
              <c:strCache>
                <c:ptCount val="6"/>
                <c:pt idx="0">
                  <c:v>Akmens anglis</c:v>
                </c:pt>
                <c:pt idx="1">
                  <c:v>Mediena</c:v>
                </c:pt>
                <c:pt idx="2">
                  <c:v>Medienos granulės</c:v>
                </c:pt>
                <c:pt idx="3">
                  <c:v>Gamtinės dujos</c:v>
                </c:pt>
                <c:pt idx="4">
                  <c:v>Suskystintos dujos</c:v>
                </c:pt>
                <c:pt idx="5">
                  <c:v>Vidutinė kaina</c:v>
                </c:pt>
              </c:strCache>
            </c:strRef>
          </c:cat>
          <c:val>
            <c:numRef>
              <c:f>Lapas2!$C$29:$C$34</c:f>
              <c:numCache>
                <c:formatCode>General</c:formatCode>
                <c:ptCount val="6"/>
                <c:pt idx="0">
                  <c:v>219.88</c:v>
                </c:pt>
                <c:pt idx="1">
                  <c:v>167.68</c:v>
                </c:pt>
                <c:pt idx="2">
                  <c:v>390.33</c:v>
                </c:pt>
                <c:pt idx="3">
                  <c:v>531.87</c:v>
                </c:pt>
                <c:pt idx="4">
                  <c:v>565.38</c:v>
                </c:pt>
                <c:pt idx="5">
                  <c:v>216.44</c:v>
                </c:pt>
              </c:numCache>
            </c:numRef>
          </c:val>
        </c:ser>
        <c:ser>
          <c:idx val="1"/>
          <c:order val="1"/>
          <c:tx>
            <c:strRef>
              <c:f>Lapas2!$D$28</c:f>
              <c:strCache>
                <c:ptCount val="1"/>
                <c:pt idx="0">
                  <c:v>2015 m.</c:v>
                </c:pt>
              </c:strCache>
            </c:strRef>
          </c:tx>
          <c:invertIfNegative val="0"/>
          <c:dLbls>
            <c:txPr>
              <a:bodyPr/>
              <a:lstStyle/>
              <a:p>
                <a:pPr>
                  <a:defRPr sz="900"/>
                </a:pPr>
                <a:endParaRPr lang="lt-LT"/>
              </a:p>
            </c:txPr>
            <c:dLblPos val="ctr"/>
            <c:showLegendKey val="0"/>
            <c:showVal val="1"/>
            <c:showCatName val="0"/>
            <c:showSerName val="0"/>
            <c:showPercent val="0"/>
            <c:showBubbleSize val="0"/>
            <c:showLeaderLines val="0"/>
          </c:dLbls>
          <c:cat>
            <c:strRef>
              <c:f>Lapas2!$B$29:$B$34</c:f>
              <c:strCache>
                <c:ptCount val="6"/>
                <c:pt idx="0">
                  <c:v>Akmens anglis</c:v>
                </c:pt>
                <c:pt idx="1">
                  <c:v>Mediena</c:v>
                </c:pt>
                <c:pt idx="2">
                  <c:v>Medienos granulės</c:v>
                </c:pt>
                <c:pt idx="3">
                  <c:v>Gamtinės dujos</c:v>
                </c:pt>
                <c:pt idx="4">
                  <c:v>Suskystintos dujos</c:v>
                </c:pt>
                <c:pt idx="5">
                  <c:v>Vidutinė kaina</c:v>
                </c:pt>
              </c:strCache>
            </c:strRef>
          </c:cat>
          <c:val>
            <c:numRef>
              <c:f>Lapas2!$D$29:$D$34</c:f>
              <c:numCache>
                <c:formatCode>General</c:formatCode>
                <c:ptCount val="6"/>
                <c:pt idx="0">
                  <c:v>222.15</c:v>
                </c:pt>
                <c:pt idx="1">
                  <c:v>169.39</c:v>
                </c:pt>
                <c:pt idx="2">
                  <c:v>350.72</c:v>
                </c:pt>
                <c:pt idx="3">
                  <c:v>548.26</c:v>
                </c:pt>
                <c:pt idx="4">
                  <c:v>351.02</c:v>
                </c:pt>
                <c:pt idx="5">
                  <c:v>217.7</c:v>
                </c:pt>
              </c:numCache>
            </c:numRef>
          </c:val>
        </c:ser>
        <c:dLbls>
          <c:showLegendKey val="0"/>
          <c:showVal val="1"/>
          <c:showCatName val="0"/>
          <c:showSerName val="0"/>
          <c:showPercent val="0"/>
          <c:showBubbleSize val="0"/>
        </c:dLbls>
        <c:gapWidth val="150"/>
        <c:axId val="119995776"/>
        <c:axId val="123294848"/>
      </c:barChart>
      <c:catAx>
        <c:axId val="119995776"/>
        <c:scaling>
          <c:orientation val="minMax"/>
        </c:scaling>
        <c:delete val="0"/>
        <c:axPos val="b"/>
        <c:majorTickMark val="out"/>
        <c:minorTickMark val="none"/>
        <c:tickLblPos val="nextTo"/>
        <c:crossAx val="123294848"/>
        <c:crosses val="autoZero"/>
        <c:auto val="1"/>
        <c:lblAlgn val="ctr"/>
        <c:lblOffset val="100"/>
        <c:noMultiLvlLbl val="0"/>
      </c:catAx>
      <c:valAx>
        <c:axId val="123294848"/>
        <c:scaling>
          <c:orientation val="minMax"/>
        </c:scaling>
        <c:delete val="0"/>
        <c:axPos val="l"/>
        <c:majorGridlines>
          <c:spPr>
            <a:ln>
              <a:solidFill>
                <a:schemeClr val="bg1">
                  <a:lumMod val="85000"/>
                </a:schemeClr>
              </a:solidFill>
              <a:prstDash val="sysDot"/>
            </a:ln>
          </c:spPr>
        </c:majorGridlines>
        <c:title>
          <c:tx>
            <c:rich>
              <a:bodyPr rot="0" vert="horz"/>
              <a:lstStyle/>
              <a:p>
                <a:pPr>
                  <a:defRPr/>
                </a:pPr>
                <a:r>
                  <a:rPr lang="lt-LT"/>
                  <a:t>Eur/t</a:t>
                </a:r>
                <a:r>
                  <a:rPr lang="lt-LT" baseline="-25000"/>
                  <a:t>ne</a:t>
                </a:r>
              </a:p>
            </c:rich>
          </c:tx>
          <c:layout>
            <c:manualLayout>
              <c:xMode val="edge"/>
              <c:yMode val="edge"/>
              <c:x val="3.8934062125394381E-2"/>
              <c:y val="7.5769289169432333E-2"/>
            </c:manualLayout>
          </c:layout>
          <c:overlay val="0"/>
        </c:title>
        <c:numFmt formatCode="General" sourceLinked="1"/>
        <c:majorTickMark val="out"/>
        <c:minorTickMark val="none"/>
        <c:tickLblPos val="nextTo"/>
        <c:crossAx val="119995776"/>
        <c:crosses val="autoZero"/>
        <c:crossBetween val="between"/>
      </c:valAx>
    </c:plotArea>
    <c:legend>
      <c:legendPos val="r"/>
      <c:layout>
        <c:manualLayout>
          <c:xMode val="edge"/>
          <c:yMode val="edge"/>
          <c:x val="0.83680819414156771"/>
          <c:y val="4.8093244542779266E-2"/>
          <c:w val="0.11725724091166999"/>
          <c:h val="0.25115157480314959"/>
        </c:manualLayout>
      </c:layout>
      <c:overlay val="0"/>
    </c:legend>
    <c:plotVisOnly val="1"/>
    <c:dispBlanksAs val="gap"/>
    <c:showDLblsOverMax val="0"/>
  </c:chart>
  <c:txPr>
    <a:bodyPr/>
    <a:lstStyle/>
    <a:p>
      <a:pPr>
        <a:defRPr>
          <a:latin typeface="Times New Roman" panose="02020603050405020304" pitchFamily="18" charset="0"/>
          <a:cs typeface="Times New Roman" panose="02020603050405020304" pitchFamily="18" charset="0"/>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6221325126237388E-2"/>
          <c:y val="7.8071202638131776E-2"/>
          <c:w val="0.9029174094354957"/>
          <c:h val="0.75394387240056526"/>
        </c:manualLayout>
      </c:layout>
      <c:barChart>
        <c:barDir val="col"/>
        <c:grouping val="percentStacked"/>
        <c:varyColors val="0"/>
        <c:ser>
          <c:idx val="0"/>
          <c:order val="0"/>
          <c:tx>
            <c:strRef>
              <c:f>Lapas2!$B$43</c:f>
              <c:strCache>
                <c:ptCount val="1"/>
                <c:pt idx="0">
                  <c:v>Gamtinės dujos</c:v>
                </c:pt>
              </c:strCache>
            </c:strRef>
          </c:tx>
          <c:invertIfNegative val="0"/>
          <c:dLbls>
            <c:txPr>
              <a:bodyPr/>
              <a:lstStyle/>
              <a:p>
                <a:pPr>
                  <a:defRPr sz="800"/>
                </a:pPr>
                <a:endParaRPr lang="lt-LT"/>
              </a:p>
            </c:txPr>
            <c:dLblPos val="ctr"/>
            <c:showLegendKey val="0"/>
            <c:showVal val="1"/>
            <c:showCatName val="0"/>
            <c:showSerName val="0"/>
            <c:showPercent val="0"/>
            <c:showBubbleSize val="0"/>
            <c:showLeaderLines val="0"/>
          </c:dLbls>
          <c:cat>
            <c:strRef>
              <c:f>Lapas2!$J$42:$M$42</c:f>
              <c:strCache>
                <c:ptCount val="4"/>
                <c:pt idx="0">
                  <c:v>2012 m.</c:v>
                </c:pt>
                <c:pt idx="1">
                  <c:v>2013 m.</c:v>
                </c:pt>
                <c:pt idx="2">
                  <c:v>2014 m.</c:v>
                </c:pt>
                <c:pt idx="3">
                  <c:v>2015 m.</c:v>
                </c:pt>
              </c:strCache>
            </c:strRef>
          </c:cat>
          <c:val>
            <c:numRef>
              <c:f>Lapas2!$J$43:$M$43</c:f>
              <c:numCache>
                <c:formatCode>#.#00%</c:formatCode>
                <c:ptCount val="4"/>
                <c:pt idx="0">
                  <c:v>0.10800000000000001</c:v>
                </c:pt>
                <c:pt idx="1">
                  <c:v>0.11</c:v>
                </c:pt>
                <c:pt idx="2">
                  <c:v>0.11</c:v>
                </c:pt>
                <c:pt idx="3">
                  <c:v>0.11</c:v>
                </c:pt>
              </c:numCache>
            </c:numRef>
          </c:val>
        </c:ser>
        <c:ser>
          <c:idx val="1"/>
          <c:order val="1"/>
          <c:tx>
            <c:strRef>
              <c:f>Lapas2!$B$44</c:f>
              <c:strCache>
                <c:ptCount val="1"/>
                <c:pt idx="0">
                  <c:v>Medienos atliekos</c:v>
                </c:pt>
              </c:strCache>
            </c:strRef>
          </c:tx>
          <c:invertIfNegative val="0"/>
          <c:dLbls>
            <c:txPr>
              <a:bodyPr/>
              <a:lstStyle/>
              <a:p>
                <a:pPr>
                  <a:defRPr sz="800"/>
                </a:pPr>
                <a:endParaRPr lang="lt-LT"/>
              </a:p>
            </c:txPr>
            <c:dLblPos val="ctr"/>
            <c:showLegendKey val="0"/>
            <c:showVal val="1"/>
            <c:showCatName val="0"/>
            <c:showSerName val="0"/>
            <c:showPercent val="0"/>
            <c:showBubbleSize val="0"/>
            <c:showLeaderLines val="0"/>
          </c:dLbls>
          <c:cat>
            <c:strRef>
              <c:f>Lapas2!$J$42:$M$42</c:f>
              <c:strCache>
                <c:ptCount val="4"/>
                <c:pt idx="0">
                  <c:v>2012 m.</c:v>
                </c:pt>
                <c:pt idx="1">
                  <c:v>2013 m.</c:v>
                </c:pt>
                <c:pt idx="2">
                  <c:v>2014 m.</c:v>
                </c:pt>
                <c:pt idx="3">
                  <c:v>2015 m.</c:v>
                </c:pt>
              </c:strCache>
            </c:strRef>
          </c:cat>
          <c:val>
            <c:numRef>
              <c:f>Lapas2!$J$44:$M$44</c:f>
              <c:numCache>
                <c:formatCode>#.#00%</c:formatCode>
                <c:ptCount val="4"/>
                <c:pt idx="0">
                  <c:v>0.81899999999999995</c:v>
                </c:pt>
                <c:pt idx="1">
                  <c:v>0.82799999999999996</c:v>
                </c:pt>
                <c:pt idx="2">
                  <c:v>0.85199999999999998</c:v>
                </c:pt>
                <c:pt idx="3">
                  <c:v>0.85199999999999998</c:v>
                </c:pt>
              </c:numCache>
            </c:numRef>
          </c:val>
        </c:ser>
        <c:ser>
          <c:idx val="2"/>
          <c:order val="2"/>
          <c:tx>
            <c:strRef>
              <c:f>Lapas2!$B$46</c:f>
              <c:strCache>
                <c:ptCount val="1"/>
                <c:pt idx="0">
                  <c:v>Akmens anglis</c:v>
                </c:pt>
              </c:strCache>
            </c:strRef>
          </c:tx>
          <c:invertIfNegative val="0"/>
          <c:cat>
            <c:strRef>
              <c:f>Lapas2!$J$42:$M$42</c:f>
              <c:strCache>
                <c:ptCount val="4"/>
                <c:pt idx="0">
                  <c:v>2012 m.</c:v>
                </c:pt>
                <c:pt idx="1">
                  <c:v>2013 m.</c:v>
                </c:pt>
                <c:pt idx="2">
                  <c:v>2014 m.</c:v>
                </c:pt>
                <c:pt idx="3">
                  <c:v>2015 m.</c:v>
                </c:pt>
              </c:strCache>
            </c:strRef>
          </c:cat>
          <c:val>
            <c:numRef>
              <c:f>Lapas2!$J$46:$M$46</c:f>
              <c:numCache>
                <c:formatCode>#.#00%</c:formatCode>
                <c:ptCount val="4"/>
                <c:pt idx="0">
                  <c:v>4.1300000000000003E-2</c:v>
                </c:pt>
                <c:pt idx="1">
                  <c:v>3.1E-2</c:v>
                </c:pt>
                <c:pt idx="2">
                  <c:v>5.0000000000000001E-3</c:v>
                </c:pt>
                <c:pt idx="3">
                  <c:v>2E-3</c:v>
                </c:pt>
              </c:numCache>
            </c:numRef>
          </c:val>
        </c:ser>
        <c:ser>
          <c:idx val="3"/>
          <c:order val="3"/>
          <c:tx>
            <c:strRef>
              <c:f>Lapas2!$B$47</c:f>
              <c:strCache>
                <c:ptCount val="1"/>
                <c:pt idx="0">
                  <c:v>Kitos kuro rūšys</c:v>
                </c:pt>
              </c:strCache>
            </c:strRef>
          </c:tx>
          <c:invertIfNegative val="0"/>
          <c:cat>
            <c:strRef>
              <c:f>Lapas2!$J$42:$M$42</c:f>
              <c:strCache>
                <c:ptCount val="4"/>
                <c:pt idx="0">
                  <c:v>2012 m.</c:v>
                </c:pt>
                <c:pt idx="1">
                  <c:v>2013 m.</c:v>
                </c:pt>
                <c:pt idx="2">
                  <c:v>2014 m.</c:v>
                </c:pt>
                <c:pt idx="3">
                  <c:v>2015 m.</c:v>
                </c:pt>
              </c:strCache>
            </c:strRef>
          </c:cat>
          <c:val>
            <c:numRef>
              <c:f>Lapas2!$J$47:$M$47</c:f>
              <c:numCache>
                <c:formatCode>#.#00%</c:formatCode>
                <c:ptCount val="4"/>
                <c:pt idx="0">
                  <c:v>5.3E-3</c:v>
                </c:pt>
                <c:pt idx="1">
                  <c:v>5.0000000000000001E-3</c:v>
                </c:pt>
                <c:pt idx="2">
                  <c:v>6.0000000000000001E-3</c:v>
                </c:pt>
                <c:pt idx="3">
                  <c:v>6.0000000000000001E-3</c:v>
                </c:pt>
              </c:numCache>
            </c:numRef>
          </c:val>
        </c:ser>
        <c:ser>
          <c:idx val="4"/>
          <c:order val="4"/>
          <c:tx>
            <c:strRef>
              <c:f>Lapas2!$B$45</c:f>
              <c:strCache>
                <c:ptCount val="1"/>
                <c:pt idx="0">
                  <c:v>Medienos granulės</c:v>
                </c:pt>
              </c:strCache>
            </c:strRef>
          </c:tx>
          <c:invertIfNegative val="0"/>
          <c:dLbls>
            <c:txPr>
              <a:bodyPr/>
              <a:lstStyle/>
              <a:p>
                <a:pPr>
                  <a:defRPr sz="800"/>
                </a:pPr>
                <a:endParaRPr lang="lt-LT"/>
              </a:p>
            </c:txPr>
            <c:dLblPos val="ctr"/>
            <c:showLegendKey val="0"/>
            <c:showVal val="1"/>
            <c:showCatName val="0"/>
            <c:showSerName val="0"/>
            <c:showPercent val="0"/>
            <c:showBubbleSize val="0"/>
            <c:showLeaderLines val="0"/>
          </c:dLbls>
          <c:cat>
            <c:strRef>
              <c:f>Lapas2!$J$42:$M$42</c:f>
              <c:strCache>
                <c:ptCount val="4"/>
                <c:pt idx="0">
                  <c:v>2012 m.</c:v>
                </c:pt>
                <c:pt idx="1">
                  <c:v>2013 m.</c:v>
                </c:pt>
                <c:pt idx="2">
                  <c:v>2014 m.</c:v>
                </c:pt>
                <c:pt idx="3">
                  <c:v>2015 m.</c:v>
                </c:pt>
              </c:strCache>
            </c:strRef>
          </c:cat>
          <c:val>
            <c:numRef>
              <c:f>Lapas2!$J$45:$M$45</c:f>
              <c:numCache>
                <c:formatCode>#.#00%</c:formatCode>
                <c:ptCount val="4"/>
                <c:pt idx="0">
                  <c:v>2.5999999999999999E-2</c:v>
                </c:pt>
                <c:pt idx="1">
                  <c:v>2.5999999999999999E-2</c:v>
                </c:pt>
                <c:pt idx="2">
                  <c:v>2.7E-2</c:v>
                </c:pt>
                <c:pt idx="3">
                  <c:v>0.03</c:v>
                </c:pt>
              </c:numCache>
            </c:numRef>
          </c:val>
        </c:ser>
        <c:dLbls>
          <c:showLegendKey val="0"/>
          <c:showVal val="0"/>
          <c:showCatName val="0"/>
          <c:showSerName val="0"/>
          <c:showPercent val="0"/>
          <c:showBubbleSize val="0"/>
        </c:dLbls>
        <c:gapWidth val="150"/>
        <c:overlap val="100"/>
        <c:axId val="124519552"/>
        <c:axId val="124521088"/>
      </c:barChart>
      <c:catAx>
        <c:axId val="124519552"/>
        <c:scaling>
          <c:orientation val="minMax"/>
        </c:scaling>
        <c:delete val="0"/>
        <c:axPos val="b"/>
        <c:numFmt formatCode="#.#00%" sourceLinked="1"/>
        <c:majorTickMark val="out"/>
        <c:minorTickMark val="none"/>
        <c:tickLblPos val="nextTo"/>
        <c:crossAx val="124521088"/>
        <c:crosses val="autoZero"/>
        <c:auto val="1"/>
        <c:lblAlgn val="ctr"/>
        <c:lblOffset val="100"/>
        <c:noMultiLvlLbl val="0"/>
      </c:catAx>
      <c:valAx>
        <c:axId val="124521088"/>
        <c:scaling>
          <c:orientation val="minMax"/>
        </c:scaling>
        <c:delete val="0"/>
        <c:axPos val="l"/>
        <c:maj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prstDash val="sysDot"/>
            </a:ln>
          </c:spPr>
        </c:majorGridlines>
        <c:numFmt formatCode="0%" sourceLinked="1"/>
        <c:majorTickMark val="out"/>
        <c:minorTickMark val="none"/>
        <c:tickLblPos val="nextTo"/>
        <c:crossAx val="124519552"/>
        <c:crosses val="autoZero"/>
        <c:crossBetween val="between"/>
      </c:valAx>
    </c:plotArea>
    <c:legend>
      <c:legendPos val="b"/>
      <c:layout>
        <c:manualLayout>
          <c:xMode val="edge"/>
          <c:yMode val="edge"/>
          <c:x val="8.1045563748975813E-2"/>
          <c:y val="0.91029469088641146"/>
          <c:w val="0.82900734630393424"/>
          <c:h val="5.9679582131441491E-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DF545-96C8-4261-B05F-B41AC07F6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15223</Words>
  <Characters>8678</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UAB Kretingos šilumos tinklai 2008 metų</vt:lpstr>
      <vt:lpstr>         UAB Kretingos šilumos tinklai 2008 metų</vt:lpstr>
    </vt:vector>
  </TitlesOfParts>
  <Company/>
  <LinksUpToDate>false</LinksUpToDate>
  <CharactersWithSpaces>23854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Kretingos šilumos tinklai 2008 metų</dc:title>
  <dc:creator>EG</dc:creator>
  <cp:lastModifiedBy>user</cp:lastModifiedBy>
  <cp:revision>11</cp:revision>
  <cp:lastPrinted>2015-04-13T08:53:00Z</cp:lastPrinted>
  <dcterms:created xsi:type="dcterms:W3CDTF">2016-04-11T13:04:00Z</dcterms:created>
  <dcterms:modified xsi:type="dcterms:W3CDTF">2016-04-29T06:13:00Z</dcterms:modified>
</cp:coreProperties>
</file>