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075" w:rsidRPr="009B2A8A" w:rsidRDefault="009C6A97" w:rsidP="009C6A97">
      <w:pPr>
        <w:ind w:left="5103"/>
        <w:outlineLvl w:val="1"/>
        <w:rPr>
          <w:bCs/>
        </w:rPr>
      </w:pPr>
      <w:r>
        <w:rPr>
          <w:bCs/>
        </w:rPr>
        <w:t xml:space="preserve"> </w:t>
      </w:r>
      <w:r w:rsidR="00B87075" w:rsidRPr="009B2A8A">
        <w:rPr>
          <w:bCs/>
        </w:rPr>
        <w:t>PATVIRTINTA</w:t>
      </w:r>
      <w:bookmarkStart w:id="0" w:name="_GoBack"/>
      <w:bookmarkEnd w:id="0"/>
    </w:p>
    <w:p w:rsidR="00B87075" w:rsidRPr="009B2A8A" w:rsidRDefault="00B87075" w:rsidP="00B87075">
      <w:pPr>
        <w:jc w:val="both"/>
        <w:outlineLvl w:val="1"/>
        <w:rPr>
          <w:bCs/>
        </w:rPr>
      </w:pPr>
      <w:r w:rsidRPr="009B2A8A">
        <w:rPr>
          <w:bCs/>
        </w:rPr>
        <w:t xml:space="preserve">                                                                 </w:t>
      </w:r>
      <w:r w:rsidR="00501275">
        <w:rPr>
          <w:bCs/>
        </w:rPr>
        <w:t xml:space="preserve">                     </w:t>
      </w:r>
      <w:r w:rsidRPr="009B2A8A">
        <w:rPr>
          <w:bCs/>
        </w:rPr>
        <w:t>Kretingos rajono savivaldybės tarybos</w:t>
      </w:r>
    </w:p>
    <w:p w:rsidR="00B87075" w:rsidRPr="009B2A8A" w:rsidRDefault="00B87075" w:rsidP="00B87075">
      <w:pPr>
        <w:jc w:val="both"/>
        <w:outlineLvl w:val="1"/>
        <w:rPr>
          <w:bCs/>
          <w:sz w:val="20"/>
          <w:szCs w:val="20"/>
        </w:rPr>
      </w:pPr>
      <w:r w:rsidRPr="009B2A8A">
        <w:rPr>
          <w:bCs/>
        </w:rPr>
        <w:t xml:space="preserve">                                                                                      2015</w:t>
      </w:r>
      <w:r w:rsidR="00501275">
        <w:rPr>
          <w:bCs/>
        </w:rPr>
        <w:t xml:space="preserve"> m. lapkričio 26 d.</w:t>
      </w:r>
      <w:r w:rsidRPr="009B2A8A">
        <w:rPr>
          <w:bCs/>
        </w:rPr>
        <w:t xml:space="preserve"> sprendimu Nr.</w:t>
      </w:r>
      <w:r w:rsidR="00E5706C">
        <w:rPr>
          <w:bCs/>
        </w:rPr>
        <w:t xml:space="preserve"> T2-</w:t>
      </w:r>
      <w:r w:rsidR="009C6A97">
        <w:rPr>
          <w:bCs/>
        </w:rPr>
        <w:t>302</w:t>
      </w:r>
    </w:p>
    <w:p w:rsidR="00512A80" w:rsidRDefault="00512A80" w:rsidP="00B87075">
      <w:pPr>
        <w:ind w:left="5670" w:hanging="486"/>
        <w:jc w:val="both"/>
        <w:outlineLvl w:val="1"/>
      </w:pPr>
    </w:p>
    <w:p w:rsidR="00E5706C" w:rsidRDefault="00E5706C" w:rsidP="00B87075">
      <w:pPr>
        <w:ind w:left="5670" w:hanging="486"/>
        <w:jc w:val="both"/>
        <w:outlineLvl w:val="1"/>
      </w:pPr>
    </w:p>
    <w:p w:rsidR="00512A80" w:rsidRDefault="00512A80" w:rsidP="00512A80">
      <w:pPr>
        <w:pStyle w:val="Default"/>
        <w:jc w:val="center"/>
      </w:pPr>
      <w:r>
        <w:rPr>
          <w:b/>
          <w:bCs/>
        </w:rPr>
        <w:t>ETNINĖS KULTŪROS PLĖTROS KRETINGOS RAJONE 2016–2018 METŲ PROGRAMA</w:t>
      </w:r>
    </w:p>
    <w:p w:rsidR="00512A80" w:rsidRDefault="00512A80" w:rsidP="00512A80">
      <w:pPr>
        <w:pStyle w:val="Default"/>
        <w:jc w:val="center"/>
        <w:rPr>
          <w:b/>
          <w:bCs/>
        </w:rPr>
      </w:pPr>
    </w:p>
    <w:p w:rsidR="00512A80" w:rsidRDefault="00512A80" w:rsidP="00512A80">
      <w:pPr>
        <w:pStyle w:val="Default"/>
        <w:jc w:val="center"/>
        <w:rPr>
          <w:b/>
          <w:bCs/>
        </w:rPr>
      </w:pPr>
      <w:r>
        <w:rPr>
          <w:b/>
          <w:bCs/>
        </w:rPr>
        <w:t>I. BENDROSIOS NUOSTATOS</w:t>
      </w:r>
    </w:p>
    <w:p w:rsidR="00512A80" w:rsidRDefault="00512A80" w:rsidP="00512A80">
      <w:pPr>
        <w:pStyle w:val="Default"/>
        <w:jc w:val="center"/>
      </w:pPr>
    </w:p>
    <w:p w:rsidR="00512A80" w:rsidRDefault="00512A80" w:rsidP="00512A80">
      <w:pPr>
        <w:pStyle w:val="Default"/>
        <w:ind w:firstLine="1296"/>
        <w:jc w:val="both"/>
      </w:pPr>
      <w:r>
        <w:t xml:space="preserve">1. Etninės kultūros plėtros Kretingos rajone 2016–2018 metų programoje (toliau – Programa) numatomi etninės kultūros plėtros tikslai, uždaviniai, priemonės, atsakingi vykdytojai bei įvykdymo terminai, siekiami rezultatai. </w:t>
      </w:r>
    </w:p>
    <w:p w:rsidR="00512A80" w:rsidRDefault="00512A80" w:rsidP="00512A80">
      <w:pPr>
        <w:pStyle w:val="Default"/>
        <w:ind w:firstLine="1296"/>
        <w:jc w:val="both"/>
      </w:pPr>
      <w:r>
        <w:t xml:space="preserve">2. Programos tikslas – išlaikyti etninės kultūros tyrinėjimo, saugojimo, ugdymo ir sklaidos prioritetinių krypčių tęstinumą. </w:t>
      </w:r>
    </w:p>
    <w:p w:rsidR="00512A80" w:rsidRDefault="00512A80" w:rsidP="00512A80">
      <w:pPr>
        <w:pStyle w:val="Default"/>
        <w:ind w:firstLine="1296"/>
        <w:jc w:val="both"/>
      </w:pPr>
      <w:r>
        <w:t>3. Programa parengta atsižvelgiant į Lietuvos Respublikos etninės kultūros valstybinės globos pagrindų įstatymo (toliau – Etninės kultūros valstybi</w:t>
      </w:r>
      <w:r w:rsidR="005F1554">
        <w:t>nės globos pagrindų įstatymas)</w:t>
      </w:r>
      <w:r>
        <w:t>, Etninės kultūros plėtros 2015-2018 m. veiksmų planą, patvirtintą Lietuvos Respublikos kultūros ministro 2015 m. liepos 22 d. įsakymu Nr. ĮV-500, ki</w:t>
      </w:r>
      <w:r w:rsidR="005F1554">
        <w:t>tų, su etnine kultūra susijusių</w:t>
      </w:r>
      <w:r>
        <w:t xml:space="preserve"> Lietuvos Respublikos teisės aktų nuostatomis. </w:t>
      </w:r>
    </w:p>
    <w:p w:rsidR="00512A80" w:rsidRDefault="00512A80" w:rsidP="00512A80">
      <w:pPr>
        <w:pStyle w:val="Default"/>
        <w:ind w:firstLine="1296"/>
        <w:jc w:val="both"/>
      </w:pPr>
      <w:r>
        <w:t xml:space="preserve">4. Programoje vartojamos sąvokos atitinka Etninės kultūros valstybinės globos pagrindų įstatyme ir kituose teisės aktuose apibrėžtas sąvokas. </w:t>
      </w:r>
    </w:p>
    <w:p w:rsidR="00512A80" w:rsidRDefault="00512A80" w:rsidP="00512A80">
      <w:pPr>
        <w:pStyle w:val="Default"/>
        <w:rPr>
          <w:b/>
          <w:bCs/>
        </w:rPr>
      </w:pPr>
    </w:p>
    <w:p w:rsidR="00512A80" w:rsidRDefault="00512A80" w:rsidP="00512A80">
      <w:pPr>
        <w:pStyle w:val="Default"/>
        <w:jc w:val="center"/>
      </w:pPr>
      <w:r>
        <w:rPr>
          <w:b/>
          <w:bCs/>
        </w:rPr>
        <w:t>II. TIKSLAI IR UŽDAVINIAI</w:t>
      </w:r>
    </w:p>
    <w:p w:rsidR="00512A80" w:rsidRDefault="00512A80" w:rsidP="00512A80">
      <w:pPr>
        <w:pStyle w:val="Default"/>
      </w:pPr>
    </w:p>
    <w:p w:rsidR="00512A80" w:rsidRDefault="00512A80" w:rsidP="00512A80">
      <w:pPr>
        <w:pStyle w:val="Default"/>
        <w:ind w:firstLine="1296"/>
        <w:jc w:val="both"/>
      </w:pPr>
      <w:r>
        <w:t xml:space="preserve">5. Pirmasis Programos tikslas – siekti nematerialaus kultūros paveldo išsaugojimo bei etninės kultūros tradicijų tęstinumo Kretingos rajone. </w:t>
      </w:r>
    </w:p>
    <w:p w:rsidR="00512A80" w:rsidRDefault="00512A80" w:rsidP="00512A80">
      <w:pPr>
        <w:pStyle w:val="Default"/>
        <w:ind w:firstLine="1296"/>
        <w:jc w:val="both"/>
      </w:pPr>
      <w:r>
        <w:t xml:space="preserve">6. Šiam tikslui pasiekti numatomi uždaviniai: </w:t>
      </w:r>
    </w:p>
    <w:p w:rsidR="00512A80" w:rsidRDefault="00512A80" w:rsidP="00512A80">
      <w:pPr>
        <w:pStyle w:val="Default"/>
        <w:ind w:firstLine="1296"/>
        <w:jc w:val="both"/>
      </w:pPr>
      <w:r>
        <w:t xml:space="preserve">6.1. užtikrinti nematerialaus kultūros paveldo vertybių nustatymą, apsaugą ir sklaidą; </w:t>
      </w:r>
    </w:p>
    <w:p w:rsidR="00512A80" w:rsidRDefault="00512A80" w:rsidP="00512A80">
      <w:pPr>
        <w:pStyle w:val="Default"/>
        <w:ind w:firstLine="1296"/>
        <w:jc w:val="both"/>
      </w:pPr>
      <w:r>
        <w:t xml:space="preserve">6.2. ugdyti vaikų ir jaunimo etninio kultūrinio ir lokalinio tapatumo suvokimą, stiprinti etninės kultūros vertybių svarbos suvokimą bendruomenėje ir šeimoje. </w:t>
      </w:r>
    </w:p>
    <w:p w:rsidR="00512A80" w:rsidRDefault="00512A80" w:rsidP="00512A80">
      <w:pPr>
        <w:pStyle w:val="Default"/>
        <w:ind w:firstLine="1296"/>
        <w:jc w:val="both"/>
      </w:pPr>
      <w:r>
        <w:t xml:space="preserve">7. Antrasis Programos tikslas – siekti Kretingos rajono kultūrinio savitumo išsaugojimo. </w:t>
      </w:r>
    </w:p>
    <w:p w:rsidR="00512A80" w:rsidRDefault="00512A80" w:rsidP="00512A80">
      <w:pPr>
        <w:pStyle w:val="Default"/>
        <w:ind w:firstLine="1296"/>
        <w:jc w:val="both"/>
      </w:pPr>
      <w:r>
        <w:t xml:space="preserve">8. Šiam tikslui pasiekti numatomas uždavinys - gerinti sąlygas etninės kultūros sklaidai, gyvosios tradicijos išsaugojimui bei tolygiai plėtrai rajone. </w:t>
      </w:r>
    </w:p>
    <w:p w:rsidR="00512A80" w:rsidRDefault="00512A80" w:rsidP="00512A80">
      <w:pPr>
        <w:pStyle w:val="Default"/>
        <w:jc w:val="both"/>
      </w:pPr>
      <w:r>
        <w:rPr>
          <w:b/>
          <w:bCs/>
        </w:rPr>
        <w:tab/>
      </w:r>
      <w:r>
        <w:t xml:space="preserve">9. Trečiasis Programos tikslas – stiprinti kultūros įstaigų materialinę bazę. </w:t>
      </w:r>
    </w:p>
    <w:p w:rsidR="00512A80" w:rsidRDefault="00512A80" w:rsidP="00512A80">
      <w:pPr>
        <w:pStyle w:val="Default"/>
        <w:ind w:firstLine="1296"/>
        <w:jc w:val="both"/>
        <w:rPr>
          <w:b/>
          <w:bCs/>
        </w:rPr>
      </w:pPr>
      <w:r>
        <w:t>10. Šiam tikslui pasiekti numatomas uždavinys -  suplanuoti lėšas  vaizdo ir garso technikai, kompiuterinei įrangai, tautiniams kostiumams ar jų detalėms, liaudies instrumentams  įsigyti.</w:t>
      </w:r>
    </w:p>
    <w:p w:rsidR="00512A80" w:rsidRDefault="00512A80" w:rsidP="00512A80">
      <w:pPr>
        <w:jc w:val="center"/>
        <w:outlineLvl w:val="0"/>
        <w:rPr>
          <w:b/>
          <w:bCs/>
          <w:kern w:val="36"/>
        </w:rPr>
      </w:pPr>
    </w:p>
    <w:p w:rsidR="00512A80" w:rsidRDefault="00512A80" w:rsidP="00512A80">
      <w:pPr>
        <w:jc w:val="center"/>
        <w:outlineLvl w:val="0"/>
        <w:rPr>
          <w:b/>
          <w:bCs/>
          <w:kern w:val="36"/>
        </w:rPr>
      </w:pPr>
      <w:r>
        <w:rPr>
          <w:b/>
          <w:bCs/>
          <w:kern w:val="36"/>
        </w:rPr>
        <w:t xml:space="preserve">III. SIEKIAMI REZULTATAI </w:t>
      </w:r>
    </w:p>
    <w:p w:rsidR="00512A80" w:rsidRDefault="00512A80" w:rsidP="00512A80">
      <w:pPr>
        <w:jc w:val="center"/>
        <w:outlineLvl w:val="0"/>
        <w:rPr>
          <w:rFonts w:ascii="Tahoma" w:hAnsi="Tahoma" w:cs="Tahoma"/>
          <w:b/>
          <w:bCs/>
          <w:kern w:val="36"/>
          <w:sz w:val="16"/>
          <w:szCs w:val="16"/>
        </w:rPr>
      </w:pPr>
    </w:p>
    <w:p w:rsidR="00512A80" w:rsidRDefault="00512A80" w:rsidP="00512A80">
      <w:pPr>
        <w:ind w:firstLine="1418"/>
        <w:jc w:val="both"/>
      </w:pPr>
      <w:r>
        <w:t>11. Įgyvendinus šią Programą, bus:</w:t>
      </w:r>
    </w:p>
    <w:p w:rsidR="00512A80" w:rsidRDefault="00512A80" w:rsidP="00512A80">
      <w:pPr>
        <w:ind w:firstLine="1418"/>
        <w:jc w:val="both"/>
      </w:pPr>
      <w:r>
        <w:t xml:space="preserve">11.1. sudarytos sąlygos toliau plėtoti etninę kultūrą, saugoti </w:t>
      </w:r>
      <w:r w:rsidR="00231639">
        <w:t>kalbos</w:t>
      </w:r>
      <w:r>
        <w:t>, papročių ir tradicijų, paveldo savitumus, gyvosios tradicijos reiškinius rajone;</w:t>
      </w:r>
    </w:p>
    <w:p w:rsidR="00512A80" w:rsidRDefault="00512A80" w:rsidP="00512A80">
      <w:pPr>
        <w:ind w:firstLine="1418"/>
        <w:jc w:val="both"/>
      </w:pPr>
      <w:r>
        <w:t xml:space="preserve">11.2. sudarytos tinkamos sąlygos sukauptai medžiagai sisteminti bei jos sklaidai vykdyti; </w:t>
      </w:r>
    </w:p>
    <w:p w:rsidR="00512A80" w:rsidRDefault="00512A80" w:rsidP="00512A80">
      <w:pPr>
        <w:ind w:firstLine="1418"/>
        <w:jc w:val="both"/>
      </w:pPr>
      <w:r>
        <w:t>11.3. sudarytos sąlygos perkelti garso ir vaizdo medžiagą į skaitmenines laikmenas;</w:t>
      </w:r>
    </w:p>
    <w:p w:rsidR="00512A80" w:rsidRDefault="00512A80" w:rsidP="00512A80">
      <w:pPr>
        <w:ind w:firstLine="1418"/>
        <w:jc w:val="both"/>
      </w:pPr>
      <w:r>
        <w:t>11.4. stiprinama kultūros įstaigų, tiriančių ir kaupiančių etninės kultūros paveldą, vykdančių jo sklaidą, materialinė techninė bazė;</w:t>
      </w:r>
    </w:p>
    <w:p w:rsidR="00512A80" w:rsidRDefault="00512A80" w:rsidP="00512A80">
      <w:pPr>
        <w:ind w:firstLine="1418"/>
        <w:jc w:val="both"/>
      </w:pPr>
      <w:r>
        <w:t>11.5. koordinuojama kultūros įstaigų, bendruomenių, tautodailininkų veikla etninės kultūros srityje;</w:t>
      </w:r>
    </w:p>
    <w:p w:rsidR="00512A80" w:rsidRDefault="00512A80" w:rsidP="00512A80">
      <w:pPr>
        <w:ind w:firstLine="1418"/>
        <w:jc w:val="both"/>
      </w:pPr>
      <w:r>
        <w:t>11.6. sudarytos sąlygos vaikų ir jaunimo ugdymui, įtraukiant juos į etninės kultūros bei meninės kūrybos veiklą;</w:t>
      </w:r>
    </w:p>
    <w:p w:rsidR="00512A80" w:rsidRDefault="00512A80" w:rsidP="00512A80">
      <w:pPr>
        <w:ind w:firstLine="1418"/>
        <w:jc w:val="both"/>
      </w:pPr>
      <w:r>
        <w:lastRenderedPageBreak/>
        <w:t>11.7. ugdomos ir skatinamos bendruomenės, nevyriausybinės organizacijos, puoselėjančios tradicinės kultūros vertybes;</w:t>
      </w:r>
    </w:p>
    <w:p w:rsidR="00512A80" w:rsidRDefault="00512A80" w:rsidP="00512A80">
      <w:pPr>
        <w:ind w:firstLine="1418"/>
        <w:jc w:val="both"/>
      </w:pPr>
      <w:r>
        <w:t>11.8. parengti ir išleisti etninės kultūros populiarinimo leidiniai (CD, katalogai, skrajutės ir pan.);</w:t>
      </w:r>
    </w:p>
    <w:p w:rsidR="00512A80" w:rsidRDefault="00512A80" w:rsidP="00512A80">
      <w:pPr>
        <w:ind w:firstLine="1418"/>
        <w:jc w:val="both"/>
        <w:rPr>
          <w:lang w:val="en-US"/>
        </w:rPr>
      </w:pPr>
      <w:r>
        <w:t>11</w:t>
      </w:r>
      <w:r>
        <w:rPr>
          <w:bCs/>
        </w:rPr>
        <w:t xml:space="preserve">.9. augantis sertifikuotų tradicinių gaminių, paslaugų bei meistrų skaičius; </w:t>
      </w:r>
    </w:p>
    <w:p w:rsidR="00512A80" w:rsidRDefault="00512A80" w:rsidP="00512A80">
      <w:pPr>
        <w:ind w:firstLine="720"/>
        <w:jc w:val="both"/>
      </w:pPr>
      <w:r>
        <w:t> </w:t>
      </w:r>
      <w:r>
        <w:tab/>
        <w:t xml:space="preserve">  11.10. sustiprėję bendruomenių gebėjimai saugoti nematerialaus kultūros paveldo vertybes, padidėjęs supratimas apie etninės kultūros paveldo išsaugojimo ir tradicijų tęstinumo svarbą;</w:t>
      </w:r>
    </w:p>
    <w:p w:rsidR="00512A80" w:rsidRDefault="00512A80" w:rsidP="00512A80">
      <w:pPr>
        <w:ind w:firstLine="720"/>
        <w:jc w:val="both"/>
      </w:pPr>
      <w:r>
        <w:tab/>
        <w:t xml:space="preserve">  11.11. surengti mokymai kultūros darbuotojams, tautodailininkams, smulkaus verslo, bendruomenių atstovams, puoselėjantiems etninę kultūrą.</w:t>
      </w:r>
    </w:p>
    <w:p w:rsidR="00512A80" w:rsidRDefault="00512A80" w:rsidP="00512A80">
      <w:pPr>
        <w:ind w:firstLine="720"/>
        <w:jc w:val="both"/>
        <w:rPr>
          <w:b/>
          <w:bCs/>
          <w:kern w:val="36"/>
        </w:rPr>
      </w:pPr>
    </w:p>
    <w:p w:rsidR="00512A80" w:rsidRDefault="00512A80" w:rsidP="00512A80">
      <w:pPr>
        <w:pStyle w:val="Default"/>
        <w:jc w:val="center"/>
      </w:pPr>
      <w:r>
        <w:rPr>
          <w:b/>
          <w:bCs/>
        </w:rPr>
        <w:t>IV. PROGRAMOS ĮGYVENDINIMAS</w:t>
      </w:r>
    </w:p>
    <w:p w:rsidR="00512A80" w:rsidRDefault="00512A80" w:rsidP="00512A80">
      <w:pPr>
        <w:pStyle w:val="Default"/>
      </w:pPr>
    </w:p>
    <w:p w:rsidR="00512A80" w:rsidRDefault="00512A80" w:rsidP="00512A80">
      <w:pPr>
        <w:pStyle w:val="Default"/>
        <w:ind w:firstLine="1296"/>
        <w:jc w:val="both"/>
      </w:pPr>
      <w:r>
        <w:t xml:space="preserve">12. Programos įgyvendinimo laikotarpis – 2016–2018 metai. </w:t>
      </w:r>
      <w:r w:rsidR="005F1554">
        <w:t>Programos priemonės išdėstytos priede.</w:t>
      </w:r>
    </w:p>
    <w:p w:rsidR="00512A80" w:rsidRDefault="00512A80" w:rsidP="00512A80">
      <w:pPr>
        <w:pStyle w:val="Default"/>
        <w:ind w:firstLine="1296"/>
        <w:jc w:val="both"/>
      </w:pPr>
      <w:r>
        <w:t xml:space="preserve">13. Programos įgyvendinimą koordinuoja Savivaldybės administracijos Kultūros skyrius, </w:t>
      </w:r>
      <w:proofErr w:type="spellStart"/>
      <w:r>
        <w:t>stebėseną</w:t>
      </w:r>
      <w:proofErr w:type="spellEnd"/>
      <w:r>
        <w:t xml:space="preserve"> padeda vykdyti Etninės kultūros plėtros Kretingos rajone taryba. </w:t>
      </w:r>
    </w:p>
    <w:p w:rsidR="00512A80" w:rsidRDefault="00512A80" w:rsidP="00512A80">
      <w:pPr>
        <w:pStyle w:val="Default"/>
        <w:ind w:firstLine="1296"/>
        <w:jc w:val="both"/>
      </w:pPr>
      <w:r>
        <w:t xml:space="preserve">14. Atsakingi vykdytojai kasmet iki gruodžio 20 d. pateikia Kultūros skyriui ataskaitas, kaip įgyvendinamos Programoje numatytos priemonės. </w:t>
      </w:r>
    </w:p>
    <w:p w:rsidR="00512A80" w:rsidRDefault="00512A80" w:rsidP="00512A80">
      <w:pPr>
        <w:tabs>
          <w:tab w:val="left" w:pos="-180"/>
          <w:tab w:val="left" w:pos="360"/>
          <w:tab w:val="left" w:pos="720"/>
          <w:tab w:val="left" w:pos="1260"/>
          <w:tab w:val="left" w:pos="8100"/>
          <w:tab w:val="left" w:pos="8280"/>
          <w:tab w:val="left" w:pos="8460"/>
        </w:tabs>
        <w:ind w:firstLine="1418"/>
        <w:jc w:val="both"/>
      </w:pPr>
    </w:p>
    <w:p w:rsidR="00512A80" w:rsidRDefault="00512A80" w:rsidP="00512A80">
      <w:pPr>
        <w:ind w:firstLine="720"/>
        <w:jc w:val="center"/>
        <w:rPr>
          <w:b/>
          <w:bCs/>
          <w:kern w:val="36"/>
        </w:rPr>
      </w:pPr>
      <w:r>
        <w:rPr>
          <w:b/>
          <w:bCs/>
          <w:kern w:val="36"/>
        </w:rPr>
        <w:t>V. LĖŠOS</w:t>
      </w:r>
    </w:p>
    <w:p w:rsidR="00E5706C" w:rsidRDefault="00E5706C" w:rsidP="00512A80">
      <w:pPr>
        <w:ind w:firstLine="1418"/>
        <w:jc w:val="both"/>
        <w:rPr>
          <w:rFonts w:ascii="Tahoma" w:hAnsi="Tahoma" w:cs="Tahoma"/>
          <w:b/>
          <w:bCs/>
          <w:kern w:val="36"/>
          <w:sz w:val="16"/>
          <w:szCs w:val="16"/>
        </w:rPr>
      </w:pPr>
    </w:p>
    <w:p w:rsidR="00512A80" w:rsidRDefault="00512A80" w:rsidP="00512A80">
      <w:pPr>
        <w:ind w:firstLine="1418"/>
        <w:jc w:val="both"/>
      </w:pPr>
      <w:r>
        <w:t xml:space="preserve">15. Programos įgyvendinimo priemonės finansuojamos iš įvairių fondų, Valstybės ir Kretingos rajono savivaldybės biudžetų ir kitų teisėtai įsigytų lėšų. Lėšos Programos priemonėms įgyvendinti numatomos pagal Kretingos rajono savivaldybės biudžeto finansines galimybes, rengiant atitinkamų metų rajono savivaldybės biudžetą. </w:t>
      </w:r>
    </w:p>
    <w:p w:rsidR="00E5706C" w:rsidRDefault="00E5706C" w:rsidP="00512A80">
      <w:pPr>
        <w:ind w:firstLine="1418"/>
        <w:jc w:val="both"/>
      </w:pPr>
    </w:p>
    <w:p w:rsidR="00E5706C" w:rsidRDefault="00E5706C" w:rsidP="00E5706C">
      <w:pPr>
        <w:ind w:firstLine="1418"/>
        <w:jc w:val="center"/>
      </w:pPr>
      <w:r>
        <w:t>___________________________</w:t>
      </w:r>
    </w:p>
    <w:p w:rsidR="00B57FAD" w:rsidRDefault="00B57FAD" w:rsidP="00E5706C">
      <w:pPr>
        <w:tabs>
          <w:tab w:val="left" w:pos="360"/>
          <w:tab w:val="left" w:pos="900"/>
          <w:tab w:val="left" w:pos="1260"/>
          <w:tab w:val="left" w:pos="1440"/>
          <w:tab w:val="left" w:pos="8100"/>
          <w:tab w:val="left" w:pos="8280"/>
          <w:tab w:val="left" w:pos="8460"/>
        </w:tabs>
        <w:ind w:hanging="180"/>
        <w:jc w:val="center"/>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pStyle w:val="Default"/>
        <w:jc w:val="center"/>
        <w:rPr>
          <w:b/>
          <w:bCs/>
        </w:rPr>
      </w:pPr>
    </w:p>
    <w:p w:rsidR="00B57FAD" w:rsidRDefault="00B57FAD" w:rsidP="00B57FAD">
      <w:pPr>
        <w:pStyle w:val="Default"/>
        <w:jc w:val="center"/>
        <w:rPr>
          <w:b/>
          <w:bCs/>
        </w:rPr>
      </w:pPr>
    </w:p>
    <w:p w:rsidR="00B57FAD" w:rsidRDefault="00B57FAD" w:rsidP="00B57FAD">
      <w:pPr>
        <w:pStyle w:val="Default"/>
        <w:jc w:val="center"/>
        <w:rPr>
          <w:b/>
          <w:bCs/>
        </w:rPr>
      </w:pPr>
    </w:p>
    <w:p w:rsidR="00B57FAD" w:rsidRDefault="00B57FAD" w:rsidP="00B57FAD">
      <w:pPr>
        <w:outlineLvl w:val="1"/>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B57FAD" w:rsidRDefault="00B57FAD" w:rsidP="00B57FAD">
      <w:pPr>
        <w:tabs>
          <w:tab w:val="left" w:pos="360"/>
          <w:tab w:val="left" w:pos="900"/>
          <w:tab w:val="left" w:pos="1260"/>
          <w:tab w:val="left" w:pos="1440"/>
          <w:tab w:val="left" w:pos="8100"/>
          <w:tab w:val="left" w:pos="8280"/>
          <w:tab w:val="left" w:pos="8460"/>
        </w:tabs>
        <w:ind w:hanging="180"/>
        <w:jc w:val="both"/>
      </w:pPr>
    </w:p>
    <w:p w:rsidR="00244158" w:rsidRDefault="00244158" w:rsidP="00244158">
      <w:pPr>
        <w:pStyle w:val="Default"/>
        <w:jc w:val="center"/>
        <w:rPr>
          <w:b/>
          <w:bCs/>
        </w:rPr>
      </w:pPr>
    </w:p>
    <w:p w:rsidR="00244158" w:rsidRDefault="00244158" w:rsidP="00244158">
      <w:pPr>
        <w:pStyle w:val="Default"/>
        <w:jc w:val="center"/>
        <w:rPr>
          <w:b/>
          <w:bCs/>
        </w:rPr>
      </w:pPr>
    </w:p>
    <w:p w:rsidR="00B57FAD" w:rsidRDefault="00B57FAD" w:rsidP="00E842A3">
      <w:pPr>
        <w:pStyle w:val="Default"/>
        <w:jc w:val="center"/>
        <w:rPr>
          <w:b/>
          <w:bCs/>
        </w:rPr>
      </w:pPr>
    </w:p>
    <w:sectPr w:rsidR="00B57FAD" w:rsidSect="009C6A97">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2A3"/>
    <w:rsid w:val="000016F8"/>
    <w:rsid w:val="0009731F"/>
    <w:rsid w:val="000B7AFA"/>
    <w:rsid w:val="00135405"/>
    <w:rsid w:val="001650A2"/>
    <w:rsid w:val="00207876"/>
    <w:rsid w:val="00231639"/>
    <w:rsid w:val="00232514"/>
    <w:rsid w:val="00244158"/>
    <w:rsid w:val="00282C14"/>
    <w:rsid w:val="00297600"/>
    <w:rsid w:val="00314283"/>
    <w:rsid w:val="003A4B8B"/>
    <w:rsid w:val="003D4985"/>
    <w:rsid w:val="004B5F44"/>
    <w:rsid w:val="00501275"/>
    <w:rsid w:val="00512A80"/>
    <w:rsid w:val="005512B3"/>
    <w:rsid w:val="005559CD"/>
    <w:rsid w:val="005A398A"/>
    <w:rsid w:val="005A7354"/>
    <w:rsid w:val="005F1554"/>
    <w:rsid w:val="006D0BC1"/>
    <w:rsid w:val="006E3E2E"/>
    <w:rsid w:val="00705C05"/>
    <w:rsid w:val="0077487E"/>
    <w:rsid w:val="007933B9"/>
    <w:rsid w:val="007F7498"/>
    <w:rsid w:val="00886372"/>
    <w:rsid w:val="008C745E"/>
    <w:rsid w:val="00906A55"/>
    <w:rsid w:val="009B2A8A"/>
    <w:rsid w:val="009C6A97"/>
    <w:rsid w:val="00A249FB"/>
    <w:rsid w:val="00AA048E"/>
    <w:rsid w:val="00B27D73"/>
    <w:rsid w:val="00B57FAD"/>
    <w:rsid w:val="00B87075"/>
    <w:rsid w:val="00C64378"/>
    <w:rsid w:val="00C80883"/>
    <w:rsid w:val="00CE5238"/>
    <w:rsid w:val="00DD68A2"/>
    <w:rsid w:val="00DF6EE0"/>
    <w:rsid w:val="00E21F57"/>
    <w:rsid w:val="00E36B69"/>
    <w:rsid w:val="00E5706C"/>
    <w:rsid w:val="00E76B24"/>
    <w:rsid w:val="00E842A3"/>
    <w:rsid w:val="00FD0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2C14"/>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842A3"/>
    <w:pPr>
      <w:autoSpaceDE w:val="0"/>
      <w:autoSpaceDN w:val="0"/>
      <w:adjustRightInd w:val="0"/>
      <w:spacing w:after="0" w:line="240" w:lineRule="auto"/>
    </w:pPr>
    <w:rPr>
      <w:color w:val="000000"/>
    </w:rPr>
  </w:style>
  <w:style w:type="character" w:customStyle="1" w:styleId="apple-converted-space">
    <w:name w:val="apple-converted-space"/>
    <w:basedOn w:val="Numatytasispastraiposriftas"/>
    <w:rsid w:val="00B57FAD"/>
  </w:style>
  <w:style w:type="paragraph" w:styleId="Debesliotekstas">
    <w:name w:val="Balloon Text"/>
    <w:basedOn w:val="prastasis"/>
    <w:link w:val="DebesliotekstasDiagrama"/>
    <w:uiPriority w:val="99"/>
    <w:semiHidden/>
    <w:unhideWhenUsed/>
    <w:rsid w:val="007F74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7498"/>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2C14"/>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842A3"/>
    <w:pPr>
      <w:autoSpaceDE w:val="0"/>
      <w:autoSpaceDN w:val="0"/>
      <w:adjustRightInd w:val="0"/>
      <w:spacing w:after="0" w:line="240" w:lineRule="auto"/>
    </w:pPr>
    <w:rPr>
      <w:color w:val="000000"/>
    </w:rPr>
  </w:style>
  <w:style w:type="character" w:customStyle="1" w:styleId="apple-converted-space">
    <w:name w:val="apple-converted-space"/>
    <w:basedOn w:val="Numatytasispastraiposriftas"/>
    <w:rsid w:val="00B57FAD"/>
  </w:style>
  <w:style w:type="paragraph" w:styleId="Debesliotekstas">
    <w:name w:val="Balloon Text"/>
    <w:basedOn w:val="prastasis"/>
    <w:link w:val="DebesliotekstasDiagrama"/>
    <w:uiPriority w:val="99"/>
    <w:semiHidden/>
    <w:unhideWhenUsed/>
    <w:rsid w:val="007F74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7498"/>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51838">
      <w:bodyDiv w:val="1"/>
      <w:marLeft w:val="0"/>
      <w:marRight w:val="0"/>
      <w:marTop w:val="0"/>
      <w:marBottom w:val="0"/>
      <w:divBdr>
        <w:top w:val="none" w:sz="0" w:space="0" w:color="auto"/>
        <w:left w:val="none" w:sz="0" w:space="0" w:color="auto"/>
        <w:bottom w:val="none" w:sz="0" w:space="0" w:color="auto"/>
        <w:right w:val="none" w:sz="0" w:space="0" w:color="auto"/>
      </w:divBdr>
    </w:div>
    <w:div w:id="154123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1748</TotalTime>
  <Pages>1</Pages>
  <Words>2817</Words>
  <Characters>1606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KretSav</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2015-11-13T08:56:00Z</cp:lastPrinted>
  <dcterms:created xsi:type="dcterms:W3CDTF">2015-09-17T11:25:00Z</dcterms:created>
  <dcterms:modified xsi:type="dcterms:W3CDTF">2015-11-27T09:11:00Z</dcterms:modified>
</cp:coreProperties>
</file>