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B6" w:rsidRPr="006821BD" w:rsidRDefault="00EA1042" w:rsidP="00EA1042">
      <w:pPr>
        <w:pStyle w:val="Antrinispavadinimas"/>
        <w:rPr>
          <w:lang w:val="lt-L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-457200</wp:posOffset>
                </wp:positionV>
                <wp:extent cx="3089275" cy="650875"/>
                <wp:effectExtent l="4445" t="0" r="190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F52" w:rsidRPr="00487303" w:rsidRDefault="001B6F52" w:rsidP="00A901E1">
                            <w:r w:rsidRPr="00487303">
                              <w:t>PRITARTA</w:t>
                            </w:r>
                          </w:p>
                          <w:p w:rsidR="001B6F52" w:rsidRPr="00487303" w:rsidRDefault="001B6F52" w:rsidP="00A901E1">
                            <w:r w:rsidRPr="00487303">
                              <w:t>Kretingos rajono savivaldybės tarybos</w:t>
                            </w:r>
                          </w:p>
                          <w:p w:rsidR="001B6F52" w:rsidRPr="00A62388" w:rsidRDefault="001B6F52" w:rsidP="00A901E1">
                            <w:pPr>
                              <w:rPr>
                                <w:lang w:val="lt-LT"/>
                              </w:rPr>
                            </w:pPr>
                            <w:r w:rsidRPr="00487303">
                              <w:t>201</w:t>
                            </w:r>
                            <w:r w:rsidR="000F27FF">
                              <w:rPr>
                                <w:lang w:val="lt-LT"/>
                              </w:rPr>
                              <w:t>5</w:t>
                            </w:r>
                            <w:r>
                              <w:t xml:space="preserve"> m. balandžio </w:t>
                            </w:r>
                            <w:r w:rsidR="00F37833">
                              <w:rPr>
                                <w:lang w:val="lt-LT"/>
                              </w:rPr>
                              <w:t>30</w:t>
                            </w:r>
                            <w:r w:rsidRPr="00487303">
                              <w:t xml:space="preserve"> d. sprendimu Nr.</w:t>
                            </w:r>
                            <w:r w:rsidR="001B6C9A">
                              <w:rPr>
                                <w:lang w:val="lt-LT"/>
                              </w:rPr>
                              <w:t xml:space="preserve"> </w:t>
                            </w:r>
                            <w:r w:rsidR="00F37833">
                              <w:rPr>
                                <w:lang w:val="lt-LT"/>
                              </w:rPr>
                              <w:t>T2-138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6pt;margin-top:-36pt;width:243.25pt;height:5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KUtA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" filled="f" stroked="f">
                <v:textbox>
                  <w:txbxContent>
                    <w:p w:rsidR="001B6F52" w:rsidRPr="00487303" w:rsidRDefault="001B6F52" w:rsidP="00A901E1">
                      <w:r w:rsidRPr="00487303">
                        <w:t>PRITARTA</w:t>
                      </w:r>
                    </w:p>
                    <w:p w:rsidR="001B6F52" w:rsidRPr="00487303" w:rsidRDefault="001B6F52" w:rsidP="00A901E1">
                      <w:r w:rsidRPr="00487303">
                        <w:t>Kretingos rajono savivaldybės tarybos</w:t>
                      </w:r>
                    </w:p>
                    <w:p w:rsidR="001B6F52" w:rsidRPr="00A62388" w:rsidRDefault="001B6F52" w:rsidP="00A901E1">
                      <w:pPr>
                        <w:rPr>
                          <w:lang w:val="lt-LT"/>
                        </w:rPr>
                      </w:pPr>
                      <w:r w:rsidRPr="00487303">
                        <w:t>201</w:t>
                      </w:r>
                      <w:r w:rsidR="000F27FF">
                        <w:rPr>
                          <w:lang w:val="lt-LT"/>
                        </w:rPr>
                        <w:t>5</w:t>
                      </w:r>
                      <w:r>
                        <w:t xml:space="preserve"> m. balandžio </w:t>
                      </w:r>
                      <w:r w:rsidR="00F37833">
                        <w:rPr>
                          <w:lang w:val="lt-LT"/>
                        </w:rPr>
                        <w:t>30</w:t>
                      </w:r>
                      <w:r w:rsidRPr="00487303">
                        <w:t xml:space="preserve"> d. sprendimu Nr.</w:t>
                      </w:r>
                      <w:r w:rsidR="001B6C9A">
                        <w:rPr>
                          <w:lang w:val="lt-LT"/>
                        </w:rPr>
                        <w:t xml:space="preserve"> </w:t>
                      </w:r>
                      <w:r w:rsidR="00F37833">
                        <w:rPr>
                          <w:lang w:val="lt-LT"/>
                        </w:rPr>
                        <w:t>T2-138</w:t>
                      </w:r>
                    </w:p>
                  </w:txbxContent>
                </v:textbox>
              </v:shape>
            </w:pict>
          </mc:Fallback>
        </mc:AlternateContent>
      </w:r>
    </w:p>
    <w:p w:rsidR="00990556" w:rsidRPr="006106E3" w:rsidRDefault="00870977" w:rsidP="00814D64">
      <w:pPr>
        <w:jc w:val="center"/>
        <w:rPr>
          <w:b/>
          <w:lang w:val="lt-LT"/>
        </w:rPr>
      </w:pPr>
      <w:r>
        <w:rPr>
          <w:b/>
          <w:lang w:val="lt-LT"/>
        </w:rPr>
        <w:t>UAB KRETINGOS AUTOBUSŲ PARK</w:t>
      </w:r>
      <w:r w:rsidR="0017548F">
        <w:rPr>
          <w:b/>
          <w:lang w:val="lt-LT"/>
        </w:rPr>
        <w:t>O</w:t>
      </w:r>
      <w:r w:rsidR="00990556" w:rsidRPr="006106E3">
        <w:rPr>
          <w:b/>
          <w:lang w:val="lt-LT"/>
        </w:rPr>
        <w:t xml:space="preserve"> VADOVO</w:t>
      </w:r>
      <w:r>
        <w:rPr>
          <w:b/>
          <w:lang w:val="lt-LT"/>
        </w:rPr>
        <w:t xml:space="preserve"> </w:t>
      </w:r>
      <w:r w:rsidR="0017548F" w:rsidRPr="006106E3">
        <w:rPr>
          <w:b/>
          <w:lang w:val="lt-LT"/>
        </w:rPr>
        <w:t>20</w:t>
      </w:r>
      <w:r w:rsidR="0017548F">
        <w:rPr>
          <w:b/>
          <w:lang w:val="lt-LT"/>
        </w:rPr>
        <w:t>1</w:t>
      </w:r>
      <w:r w:rsidR="009F3E46">
        <w:rPr>
          <w:b/>
          <w:lang w:val="lt-LT"/>
        </w:rPr>
        <w:t>4</w:t>
      </w:r>
      <w:r w:rsidR="0017548F">
        <w:rPr>
          <w:b/>
          <w:lang w:val="lt-LT"/>
        </w:rPr>
        <w:t xml:space="preserve"> METŲ</w:t>
      </w:r>
      <w:r w:rsidR="0017548F" w:rsidRPr="006106E3">
        <w:rPr>
          <w:b/>
          <w:lang w:val="lt-LT"/>
        </w:rPr>
        <w:t xml:space="preserve"> </w:t>
      </w:r>
      <w:r w:rsidR="00990556" w:rsidRPr="006106E3">
        <w:rPr>
          <w:b/>
          <w:lang w:val="lt-LT"/>
        </w:rPr>
        <w:t xml:space="preserve">ATASKAITA </w:t>
      </w:r>
    </w:p>
    <w:p w:rsidR="00990556" w:rsidRDefault="00F56D39" w:rsidP="00990556">
      <w:pPr>
        <w:jc w:val="center"/>
        <w:rPr>
          <w:lang w:val="lt-LT"/>
        </w:rPr>
      </w:pPr>
      <w:r>
        <w:rPr>
          <w:lang w:val="lt-LT"/>
        </w:rPr>
        <w:t>201</w:t>
      </w:r>
      <w:r w:rsidR="009F3E46">
        <w:rPr>
          <w:lang w:val="lt-LT"/>
        </w:rPr>
        <w:t>5</w:t>
      </w:r>
      <w:r w:rsidR="00485ABD">
        <w:rPr>
          <w:lang w:val="lt-LT"/>
        </w:rPr>
        <w:t>-0</w:t>
      </w:r>
      <w:r w:rsidR="00C72636">
        <w:rPr>
          <w:lang w:val="lt-LT"/>
        </w:rPr>
        <w:t>3-</w:t>
      </w:r>
      <w:r w:rsidR="00142C7B">
        <w:rPr>
          <w:lang w:val="lt-LT"/>
        </w:rPr>
        <w:t>30</w:t>
      </w:r>
    </w:p>
    <w:p w:rsidR="00990556" w:rsidRDefault="00990556" w:rsidP="00990556">
      <w:pPr>
        <w:jc w:val="center"/>
        <w:rPr>
          <w:lang w:val="lt-LT"/>
        </w:rPr>
      </w:pPr>
    </w:p>
    <w:p w:rsidR="00870977" w:rsidRDefault="00870977" w:rsidP="00870977">
      <w:pPr>
        <w:ind w:firstLine="900"/>
        <w:jc w:val="both"/>
        <w:rPr>
          <w:lang w:val="lt-LT"/>
        </w:rPr>
      </w:pPr>
      <w:r>
        <w:rPr>
          <w:lang w:val="lt-LT"/>
        </w:rPr>
        <w:t>Vadovaudamasis Kretingos rajono savivaldybės tarybos 2009 m. kovo 26 d. sprendimu Nr. T2-77 „Dėl Kretingos rajono savivaldybės tarybos veiklos reglamento“ patvirtinto Kretingos rajono savivaldybės tarybos veiklos reglamento 268.1 punktu, teikiu savo 201</w:t>
      </w:r>
      <w:r w:rsidR="009F3E46">
        <w:rPr>
          <w:lang w:val="lt-LT"/>
        </w:rPr>
        <w:t>4</w:t>
      </w:r>
      <w:r>
        <w:rPr>
          <w:lang w:val="lt-LT"/>
        </w:rPr>
        <w:t xml:space="preserve"> m. veiklos ataskaitą.</w:t>
      </w:r>
    </w:p>
    <w:p w:rsidR="00870977" w:rsidRDefault="00870977" w:rsidP="008D2471">
      <w:pPr>
        <w:pStyle w:val="NormalJustified"/>
        <w:ind w:firstLine="900"/>
      </w:pPr>
    </w:p>
    <w:p w:rsidR="008026F1" w:rsidRDefault="00870977" w:rsidP="008D2471">
      <w:pPr>
        <w:pStyle w:val="NormalJustified"/>
        <w:ind w:firstLine="900"/>
      </w:pPr>
      <w:r w:rsidRPr="00900FBE">
        <w:rPr>
          <w:b/>
          <w:u w:val="single"/>
        </w:rPr>
        <w:t>UAB Kretingos autobusų park</w:t>
      </w:r>
      <w:r w:rsidR="00FB7016">
        <w:rPr>
          <w:b/>
          <w:u w:val="single"/>
        </w:rPr>
        <w:t>o</w:t>
      </w:r>
      <w:r w:rsidRPr="00900FBE">
        <w:rPr>
          <w:b/>
          <w:u w:val="single"/>
        </w:rPr>
        <w:t xml:space="preserve"> valdyb</w:t>
      </w:r>
      <w:r w:rsidR="0055664C">
        <w:rPr>
          <w:b/>
          <w:u w:val="single"/>
        </w:rPr>
        <w:t>a, j</w:t>
      </w:r>
      <w:r w:rsidRPr="00900FBE">
        <w:rPr>
          <w:b/>
          <w:u w:val="single"/>
        </w:rPr>
        <w:t>os veiklos organizavimas.</w:t>
      </w:r>
      <w:r>
        <w:t xml:space="preserve"> </w:t>
      </w:r>
    </w:p>
    <w:p w:rsidR="002C735A" w:rsidRDefault="002C735A" w:rsidP="008D2471">
      <w:pPr>
        <w:pStyle w:val="NormalJustified"/>
        <w:ind w:firstLine="900"/>
      </w:pPr>
      <w:r w:rsidRPr="00A62388">
        <w:t>201</w:t>
      </w:r>
      <w:r w:rsidR="006525F6">
        <w:t>4</w:t>
      </w:r>
      <w:r w:rsidRPr="00A62388">
        <w:t xml:space="preserve"> metais įvyko </w:t>
      </w:r>
      <w:r w:rsidR="006525F6">
        <w:t>8</w:t>
      </w:r>
      <w:r w:rsidRPr="00A62388">
        <w:t xml:space="preserve"> UAB Kretingos autobusų park</w:t>
      </w:r>
      <w:r w:rsidR="00FB7016" w:rsidRPr="00A62388">
        <w:t>o</w:t>
      </w:r>
      <w:r w:rsidRPr="00A62388">
        <w:t xml:space="preserve"> valdybos posėdžiai, kurių metu priimt</w:t>
      </w:r>
      <w:r w:rsidR="00547473" w:rsidRPr="00A62388">
        <w:t>i</w:t>
      </w:r>
      <w:r w:rsidRPr="00A62388">
        <w:t xml:space="preserve"> </w:t>
      </w:r>
      <w:r w:rsidR="006525F6">
        <w:t>28</w:t>
      </w:r>
      <w:r w:rsidRPr="00A62388">
        <w:t xml:space="preserve"> valdybos nutarima</w:t>
      </w:r>
      <w:r w:rsidR="00547473" w:rsidRPr="00A62388">
        <w:t>i</w:t>
      </w:r>
      <w:r w:rsidRPr="00A62388">
        <w:t xml:space="preserve"> finansų, strateginio planavimo, veiklos organizavimo, turto valdymo,</w:t>
      </w:r>
      <w:r>
        <w:t xml:space="preserve"> socialiniais ir kitais klausimais</w:t>
      </w:r>
      <w:r w:rsidR="00547473">
        <w:t>.</w:t>
      </w:r>
      <w:r w:rsidR="00485ABD">
        <w:t xml:space="preserve"> Su visais bendrovės valdybos </w:t>
      </w:r>
      <w:r w:rsidR="00C72636">
        <w:t xml:space="preserve">posėdžiuose svarstytais klausimais ir priimtais nutarimais </w:t>
      </w:r>
      <w:r w:rsidR="00485ABD">
        <w:t>buvo supažindinta bendrovės stebėtojų taryba, kuri pastabų dėl bendrovės valdybos veiklos nepateikė.</w:t>
      </w:r>
    </w:p>
    <w:p w:rsidR="004339AD" w:rsidRDefault="004339AD" w:rsidP="008D2471">
      <w:pPr>
        <w:pStyle w:val="NormalJustified"/>
        <w:ind w:firstLine="900"/>
      </w:pPr>
    </w:p>
    <w:p w:rsidR="004339AD" w:rsidRPr="008026F1" w:rsidRDefault="00900FBE" w:rsidP="008D2471">
      <w:pPr>
        <w:pStyle w:val="NormalJustified"/>
        <w:ind w:firstLine="900"/>
        <w:rPr>
          <w:b/>
          <w:u w:val="single"/>
        </w:rPr>
      </w:pPr>
      <w:r w:rsidRPr="008026F1">
        <w:rPr>
          <w:b/>
          <w:u w:val="single"/>
        </w:rPr>
        <w:t>UAB Kretingos autobusų park</w:t>
      </w:r>
      <w:r w:rsidR="00FB7016">
        <w:rPr>
          <w:b/>
          <w:u w:val="single"/>
        </w:rPr>
        <w:t>o</w:t>
      </w:r>
      <w:r w:rsidRPr="008026F1">
        <w:rPr>
          <w:b/>
          <w:u w:val="single"/>
        </w:rPr>
        <w:t xml:space="preserve"> veiklos organizavimas. </w:t>
      </w:r>
    </w:p>
    <w:p w:rsidR="00BA10FA" w:rsidRPr="00C119D3" w:rsidRDefault="00BA10FA" w:rsidP="00BA10FA">
      <w:pPr>
        <w:pStyle w:val="NormalJustified"/>
        <w:ind w:firstLine="900"/>
      </w:pPr>
      <w:r w:rsidRPr="00C119D3">
        <w:t>Bendrovės pagrindinė veikla – keleivių pervežimas miesto, priemiestinio, tolimojo susisiekimo maršrutais ir užsakomaisiais reisais. Be pagrindinės veiklos bendrovė vykdo ir papildomą– automobilių stovėjimo aikštelių pri</w:t>
      </w:r>
      <w:r w:rsidR="0017548F">
        <w:t>ežiūros</w:t>
      </w:r>
      <w:r w:rsidR="007F3D47">
        <w:t xml:space="preserve"> -</w:t>
      </w:r>
      <w:r w:rsidRPr="00C119D3">
        <w:t xml:space="preserve"> veiklą.</w:t>
      </w:r>
    </w:p>
    <w:p w:rsidR="00E01B9F" w:rsidRDefault="00E01B9F" w:rsidP="00E01B9F">
      <w:pPr>
        <w:pStyle w:val="NormalJustified"/>
        <w:ind w:firstLine="900"/>
      </w:pPr>
      <w:r w:rsidRPr="00C119D3">
        <w:t>UAB Kretingos autobusų parkas nepriklauso jokiai įmonių grupei ir nėra įsteig</w:t>
      </w:r>
      <w:r w:rsidR="0017548F">
        <w:t>ęs</w:t>
      </w:r>
      <w:r w:rsidRPr="00C119D3">
        <w:t xml:space="preserve"> filialų.</w:t>
      </w:r>
      <w:r>
        <w:t xml:space="preserve"> Bendrovės įstatinis kapitalas lygus 1281700 litų, kuris padalintas į 12817 paprastųjų vardinių 100 litų nominalios vertės akcijų. Visos akcijos priklauso </w:t>
      </w:r>
      <w:r w:rsidRPr="008D2471">
        <w:t>Kretingos rajono savivaldyb</w:t>
      </w:r>
      <w:r>
        <w:t>ei</w:t>
      </w:r>
      <w:r w:rsidRPr="008D2471">
        <w:t xml:space="preserve">. </w:t>
      </w:r>
      <w:r>
        <w:t>Ataskaitini</w:t>
      </w:r>
      <w:r w:rsidR="0017548F">
        <w:t>ais</w:t>
      </w:r>
      <w:r>
        <w:t xml:space="preserve"> met</w:t>
      </w:r>
      <w:r w:rsidR="0017548F">
        <w:t>ais</w:t>
      </w:r>
      <w:r>
        <w:t xml:space="preserve"> bendrovės įstatinis kapitalas nekito.</w:t>
      </w:r>
    </w:p>
    <w:p w:rsidR="002C08A5" w:rsidRDefault="002C08A5" w:rsidP="002C08A5">
      <w:pPr>
        <w:pStyle w:val="NormalJustified"/>
        <w:ind w:firstLine="900"/>
        <w:rPr>
          <w:i/>
        </w:rPr>
      </w:pPr>
    </w:p>
    <w:p w:rsidR="006D7267" w:rsidRDefault="002C08A5" w:rsidP="002C08A5">
      <w:pPr>
        <w:pStyle w:val="NormalJustified"/>
        <w:ind w:firstLine="900"/>
      </w:pPr>
      <w:r w:rsidRPr="00BF0185">
        <w:rPr>
          <w:i/>
        </w:rPr>
        <w:t>Bendrovės personalas.</w:t>
      </w:r>
      <w:r>
        <w:t xml:space="preserve"> 201</w:t>
      </w:r>
      <w:r w:rsidR="006525F6">
        <w:t>4</w:t>
      </w:r>
      <w:r>
        <w:t xml:space="preserve"> metais</w:t>
      </w:r>
      <w:r w:rsidR="00FB7016">
        <w:t xml:space="preserve"> b</w:t>
      </w:r>
      <w:r w:rsidR="006D7267">
        <w:t xml:space="preserve">endrovę paliko </w:t>
      </w:r>
      <w:r w:rsidR="006D7267" w:rsidRPr="00A62388">
        <w:t>1</w:t>
      </w:r>
      <w:r w:rsidR="006525F6">
        <w:t>9</w:t>
      </w:r>
      <w:r w:rsidR="006D7267" w:rsidRPr="00A62388">
        <w:t xml:space="preserve"> darbuotojų, priimt</w:t>
      </w:r>
      <w:r w:rsidR="0017548F" w:rsidRPr="00A62388">
        <w:t>a</w:t>
      </w:r>
      <w:r w:rsidR="00C72636" w:rsidRPr="00A62388">
        <w:t xml:space="preserve"> </w:t>
      </w:r>
      <w:r w:rsidR="006D7267" w:rsidRPr="00A62388">
        <w:t>1</w:t>
      </w:r>
      <w:r w:rsidR="006525F6">
        <w:t>7</w:t>
      </w:r>
      <w:r w:rsidR="006D7267">
        <w:t xml:space="preserve"> darbuotojų.</w:t>
      </w:r>
      <w:r w:rsidR="00E23237">
        <w:t xml:space="preserve"> </w:t>
      </w:r>
      <w:r w:rsidR="007626E5">
        <w:t>Personalo pokyčio 2010-201</w:t>
      </w:r>
      <w:r w:rsidR="00CB5F5E">
        <w:t>4</w:t>
      </w:r>
      <w:r w:rsidR="007626E5">
        <w:t xml:space="preserve"> m. lyginamieji skaičiai pateikiami</w:t>
      </w:r>
      <w:r w:rsidR="0017548F">
        <w:t xml:space="preserve"> grafik</w:t>
      </w:r>
      <w:r w:rsidR="00E23237">
        <w:t>e.</w:t>
      </w:r>
    </w:p>
    <w:p w:rsidR="009F3E46" w:rsidRDefault="009F3E46" w:rsidP="002C08A5">
      <w:pPr>
        <w:pStyle w:val="NormalJustified"/>
        <w:ind w:firstLine="900"/>
      </w:pPr>
    </w:p>
    <w:p w:rsidR="009F3E46" w:rsidRDefault="00EA1042" w:rsidP="009F3E46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286500" cy="2962275"/>
            <wp:effectExtent l="0" t="0" r="0" b="0"/>
            <wp:docPr id="9" name="Objekt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08A5" w:rsidRDefault="002C08A5" w:rsidP="002C08A5">
      <w:pPr>
        <w:ind w:firstLine="900"/>
        <w:jc w:val="both"/>
        <w:rPr>
          <w:lang w:val="lt-LT"/>
        </w:rPr>
      </w:pPr>
      <w:r>
        <w:rPr>
          <w:lang w:val="lt-LT"/>
        </w:rPr>
        <w:t>201</w:t>
      </w:r>
      <w:r w:rsidR="006525F6">
        <w:rPr>
          <w:lang w:val="lt-LT"/>
        </w:rPr>
        <w:t>4</w:t>
      </w:r>
      <w:r>
        <w:rPr>
          <w:lang w:val="lt-LT"/>
        </w:rPr>
        <w:t xml:space="preserve"> m. vidutinis darbo užmokestis </w:t>
      </w:r>
      <w:r w:rsidR="00E23237">
        <w:rPr>
          <w:lang w:val="lt-LT"/>
        </w:rPr>
        <w:t xml:space="preserve">(bruto) </w:t>
      </w:r>
      <w:r>
        <w:rPr>
          <w:lang w:val="lt-LT"/>
        </w:rPr>
        <w:t>bendrovėje buvo 2</w:t>
      </w:r>
      <w:r w:rsidR="006525F6">
        <w:rPr>
          <w:lang w:val="lt-LT"/>
        </w:rPr>
        <w:t>492</w:t>
      </w:r>
      <w:r>
        <w:rPr>
          <w:lang w:val="lt-LT"/>
        </w:rPr>
        <w:t xml:space="preserve"> Lt ir, palyginti su 201</w:t>
      </w:r>
      <w:r w:rsidR="006525F6">
        <w:rPr>
          <w:lang w:val="lt-LT"/>
        </w:rPr>
        <w:t>3</w:t>
      </w:r>
      <w:r>
        <w:rPr>
          <w:lang w:val="lt-LT"/>
        </w:rPr>
        <w:t xml:space="preserve"> metais</w:t>
      </w:r>
      <w:r w:rsidR="00E23237">
        <w:rPr>
          <w:lang w:val="lt-LT"/>
        </w:rPr>
        <w:t xml:space="preserve"> </w:t>
      </w:r>
      <w:r w:rsidR="001F3071">
        <w:rPr>
          <w:lang w:val="lt-LT"/>
        </w:rPr>
        <w:t>buvusiu</w:t>
      </w:r>
      <w:r w:rsidR="00E23237">
        <w:rPr>
          <w:lang w:val="lt-LT"/>
        </w:rPr>
        <w:t xml:space="preserve"> 2</w:t>
      </w:r>
      <w:r w:rsidR="006525F6">
        <w:rPr>
          <w:lang w:val="lt-LT"/>
        </w:rPr>
        <w:t>430</w:t>
      </w:r>
      <w:r w:rsidR="00E23237">
        <w:rPr>
          <w:lang w:val="lt-LT"/>
        </w:rPr>
        <w:t xml:space="preserve"> Lt</w:t>
      </w:r>
      <w:r>
        <w:rPr>
          <w:lang w:val="lt-LT"/>
        </w:rPr>
        <w:t xml:space="preserve">, padidėjo </w:t>
      </w:r>
      <w:r w:rsidR="006525F6">
        <w:rPr>
          <w:lang w:val="lt-LT"/>
        </w:rPr>
        <w:t>2,6</w:t>
      </w:r>
      <w:r>
        <w:rPr>
          <w:lang w:val="lt-LT"/>
        </w:rPr>
        <w:t xml:space="preserve"> procento. Darbo užmokesčio padidėjimą </w:t>
      </w:r>
      <w:r w:rsidR="00B307B9">
        <w:rPr>
          <w:lang w:val="lt-LT"/>
        </w:rPr>
        <w:t>lėmė</w:t>
      </w:r>
      <w:r>
        <w:rPr>
          <w:lang w:val="lt-LT"/>
        </w:rPr>
        <w:t xml:space="preserve"> nuo 201</w:t>
      </w:r>
      <w:r w:rsidR="006525F6">
        <w:rPr>
          <w:lang w:val="lt-LT"/>
        </w:rPr>
        <w:t>4</w:t>
      </w:r>
      <w:r>
        <w:rPr>
          <w:lang w:val="lt-LT"/>
        </w:rPr>
        <w:t xml:space="preserve"> m. </w:t>
      </w:r>
      <w:r w:rsidR="00EE1BE6">
        <w:rPr>
          <w:lang w:val="lt-LT"/>
        </w:rPr>
        <w:t>MMA pasikeitimas</w:t>
      </w:r>
      <w:r w:rsidR="006525F6">
        <w:rPr>
          <w:lang w:val="lt-LT"/>
        </w:rPr>
        <w:t>.</w:t>
      </w:r>
    </w:p>
    <w:p w:rsidR="005911BE" w:rsidRDefault="005911BE" w:rsidP="002C08A5">
      <w:pPr>
        <w:jc w:val="both"/>
        <w:rPr>
          <w:lang w:val="lt-LT"/>
        </w:rPr>
      </w:pPr>
    </w:p>
    <w:p w:rsidR="002C08A5" w:rsidRDefault="002C08A5" w:rsidP="002C08A5">
      <w:pPr>
        <w:jc w:val="both"/>
        <w:rPr>
          <w:lang w:val="lt-LT"/>
        </w:rPr>
      </w:pPr>
    </w:p>
    <w:p w:rsidR="005911BE" w:rsidRDefault="005911BE" w:rsidP="002C08A5">
      <w:pPr>
        <w:jc w:val="both"/>
        <w:rPr>
          <w:lang w:val="lt-LT"/>
        </w:rPr>
      </w:pPr>
    </w:p>
    <w:p w:rsidR="005911BE" w:rsidRDefault="00EA1042" w:rsidP="002C08A5">
      <w:pPr>
        <w:jc w:val="both"/>
        <w:rPr>
          <w:lang w:val="lt-LT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296025" cy="2286000"/>
            <wp:effectExtent l="0" t="0" r="0" b="0"/>
            <wp:docPr id="2" name="Objekt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3850" w:rsidRDefault="005D3850" w:rsidP="00C1493A">
      <w:pPr>
        <w:ind w:firstLine="900"/>
        <w:jc w:val="both"/>
        <w:rPr>
          <w:lang w:val="lt-LT"/>
        </w:rPr>
      </w:pPr>
      <w:r>
        <w:rPr>
          <w:lang w:val="lt-LT"/>
        </w:rPr>
        <w:t xml:space="preserve">Didelę įtaką vairuotojų </w:t>
      </w:r>
      <w:r w:rsidR="000873E2">
        <w:rPr>
          <w:lang w:val="lt-LT"/>
        </w:rPr>
        <w:t xml:space="preserve">skaičiui ir jų </w:t>
      </w:r>
      <w:r>
        <w:rPr>
          <w:lang w:val="lt-LT"/>
        </w:rPr>
        <w:t>darbo užmokesčiui daro artima kaimynystė su Klaipėdos miestu, kur keleivinio transporto vairuotojų</w:t>
      </w:r>
      <w:r w:rsidR="000873E2">
        <w:rPr>
          <w:lang w:val="lt-LT"/>
        </w:rPr>
        <w:t xml:space="preserve"> poreikis yra ženkliai didesnis, o</w:t>
      </w:r>
      <w:r>
        <w:rPr>
          <w:lang w:val="lt-LT"/>
        </w:rPr>
        <w:t xml:space="preserve"> vidutinis darbo užmokestis siekia 2</w:t>
      </w:r>
      <w:r w:rsidR="000873E2">
        <w:rPr>
          <w:lang w:val="lt-LT"/>
        </w:rPr>
        <w:t>986</w:t>
      </w:r>
      <w:r>
        <w:rPr>
          <w:lang w:val="lt-LT"/>
        </w:rPr>
        <w:t xml:space="preserve"> Lt.</w:t>
      </w:r>
    </w:p>
    <w:p w:rsidR="00F33856" w:rsidRDefault="00E23237" w:rsidP="002C08A5">
      <w:pPr>
        <w:ind w:firstLine="900"/>
        <w:jc w:val="both"/>
        <w:rPr>
          <w:lang w:val="lt-LT"/>
        </w:rPr>
      </w:pPr>
      <w:r>
        <w:rPr>
          <w:lang w:val="lt-LT"/>
        </w:rPr>
        <w:t xml:space="preserve">Bendrovėje </w:t>
      </w:r>
      <w:r w:rsidR="00F33856">
        <w:rPr>
          <w:lang w:val="lt-LT"/>
        </w:rPr>
        <w:t>201</w:t>
      </w:r>
      <w:r w:rsidR="000873E2">
        <w:rPr>
          <w:lang w:val="lt-LT"/>
        </w:rPr>
        <w:t>4</w:t>
      </w:r>
      <w:r w:rsidR="00F33856">
        <w:rPr>
          <w:lang w:val="lt-LT"/>
        </w:rPr>
        <w:t xml:space="preserve"> met</w:t>
      </w:r>
      <w:r w:rsidR="00162C56">
        <w:rPr>
          <w:lang w:val="lt-LT"/>
        </w:rPr>
        <w:t>ais</w:t>
      </w:r>
      <w:r w:rsidR="00F33856">
        <w:rPr>
          <w:lang w:val="lt-LT"/>
        </w:rPr>
        <w:t xml:space="preserve"> sudarius prakti</w:t>
      </w:r>
      <w:r w:rsidR="00162C56">
        <w:rPr>
          <w:lang w:val="lt-LT"/>
        </w:rPr>
        <w:t>nio mokymo</w:t>
      </w:r>
      <w:r w:rsidR="00F33856">
        <w:rPr>
          <w:lang w:val="lt-LT"/>
        </w:rPr>
        <w:t xml:space="preserve"> sutartis </w:t>
      </w:r>
      <w:r>
        <w:rPr>
          <w:lang w:val="lt-LT"/>
        </w:rPr>
        <w:t>su mokymo įstaigomis</w:t>
      </w:r>
      <w:r w:rsidR="00B53AD7">
        <w:rPr>
          <w:lang w:val="lt-LT"/>
        </w:rPr>
        <w:t>,</w:t>
      </w:r>
      <w:r>
        <w:rPr>
          <w:lang w:val="lt-LT"/>
        </w:rPr>
        <w:t xml:space="preserve"> </w:t>
      </w:r>
      <w:r w:rsidR="00F33856">
        <w:rPr>
          <w:lang w:val="lt-LT"/>
        </w:rPr>
        <w:t xml:space="preserve">praktiką atliko </w:t>
      </w:r>
      <w:r w:rsidR="00162C56">
        <w:rPr>
          <w:lang w:val="lt-LT"/>
        </w:rPr>
        <w:t>viena Klaipėdos verslo kolegijos studentė</w:t>
      </w:r>
      <w:r w:rsidR="00D02A8F">
        <w:rPr>
          <w:lang w:val="lt-LT"/>
        </w:rPr>
        <w:t xml:space="preserve"> (studijuoja buhalterinę apskaitą</w:t>
      </w:r>
      <w:r w:rsidR="000873E2">
        <w:rPr>
          <w:lang w:val="lt-LT"/>
        </w:rPr>
        <w:t>).</w:t>
      </w:r>
    </w:p>
    <w:p w:rsidR="00BA10FA" w:rsidRDefault="00BA10FA" w:rsidP="00E01B9F">
      <w:pPr>
        <w:pStyle w:val="NormalJustified"/>
        <w:ind w:firstLine="900"/>
      </w:pPr>
    </w:p>
    <w:p w:rsidR="000873E2" w:rsidRDefault="002C08A5" w:rsidP="00E01B9F">
      <w:pPr>
        <w:pStyle w:val="NormalJustified"/>
        <w:ind w:firstLine="900"/>
      </w:pPr>
      <w:r>
        <w:rPr>
          <w:i/>
        </w:rPr>
        <w:t>Veiklos organiza</w:t>
      </w:r>
      <w:r w:rsidR="00F33856">
        <w:rPr>
          <w:i/>
        </w:rPr>
        <w:t>v</w:t>
      </w:r>
      <w:r>
        <w:rPr>
          <w:i/>
        </w:rPr>
        <w:t>imas</w:t>
      </w:r>
      <w:r w:rsidR="00E95841">
        <w:rPr>
          <w:i/>
        </w:rPr>
        <w:t xml:space="preserve">. </w:t>
      </w:r>
      <w:r w:rsidR="00E23237">
        <w:t xml:space="preserve">Pagrindinė bendrovės </w:t>
      </w:r>
      <w:r w:rsidR="00E23237" w:rsidRPr="00C119D3">
        <w:t xml:space="preserve">veikla – keleivių pervežimas miesto, priemiestinio, tolimojo susisiekimo maršrutais ir užsakomaisiais reisais. </w:t>
      </w:r>
      <w:r w:rsidR="00E01B9F">
        <w:t>Per ataskaitinį laikotarpį bendrovė</w:t>
      </w:r>
      <w:r w:rsidR="00B53AD7">
        <w:t>,</w:t>
      </w:r>
      <w:r w:rsidR="00E01B9F">
        <w:t xml:space="preserve"> vadovaudamasi </w:t>
      </w:r>
      <w:r w:rsidR="008D61C8">
        <w:t>20</w:t>
      </w:r>
      <w:r w:rsidR="00D02A8F">
        <w:t>12</w:t>
      </w:r>
      <w:r w:rsidR="008D61C8">
        <w:t xml:space="preserve"> m. gruodžio </w:t>
      </w:r>
      <w:r w:rsidR="00D02A8F">
        <w:t>28</w:t>
      </w:r>
      <w:r w:rsidR="008D61C8">
        <w:t xml:space="preserve"> d. su Kretingos rajono savivaldybės administracija pasirašyta </w:t>
      </w:r>
      <w:r w:rsidR="00E23237">
        <w:t xml:space="preserve">Visuomenės aptarnavimo vežti keleivius vietinio reguliaraus susisiekimo miesto ir priemiestiniais maršrutais </w:t>
      </w:r>
      <w:r w:rsidR="008D61C8">
        <w:t xml:space="preserve">sutartimi </w:t>
      </w:r>
      <w:r w:rsidR="00E01B9F">
        <w:t>Nr.S1-</w:t>
      </w:r>
      <w:r w:rsidR="00D02A8F">
        <w:t>101</w:t>
      </w:r>
      <w:r w:rsidR="00E01B9F">
        <w:t>3/B7-20</w:t>
      </w:r>
      <w:r w:rsidR="00D02A8F">
        <w:t>12</w:t>
      </w:r>
      <w:r w:rsidR="00E01B9F">
        <w:t>-0</w:t>
      </w:r>
      <w:r w:rsidR="00D02A8F">
        <w:t>76</w:t>
      </w:r>
      <w:r w:rsidR="008D61C8">
        <w:t>,</w:t>
      </w:r>
      <w:r w:rsidR="00E01B9F">
        <w:t xml:space="preserve"> pagal</w:t>
      </w:r>
      <w:r w:rsidR="001F3071" w:rsidRPr="001F3071">
        <w:t xml:space="preserve"> </w:t>
      </w:r>
      <w:r w:rsidR="001F3071">
        <w:t>Kretingos rajono savivaldybės administracijos</w:t>
      </w:r>
      <w:r w:rsidR="00E01B9F">
        <w:t xml:space="preserve"> patvirtintus tvarkaraščius ir Kretingos rajono savivaldybės tarybos nustatytus tarifus aptarnavo</w:t>
      </w:r>
      <w:r w:rsidR="00E23237">
        <w:t xml:space="preserve"> </w:t>
      </w:r>
      <w:r w:rsidR="00F37AC5">
        <w:t>4</w:t>
      </w:r>
      <w:r w:rsidR="00E23237">
        <w:t xml:space="preserve"> miesto ir</w:t>
      </w:r>
      <w:r w:rsidR="00E01B9F">
        <w:t xml:space="preserve"> 33 priemiesčio maršrutus</w:t>
      </w:r>
      <w:r w:rsidR="00B53AD7">
        <w:t>,</w:t>
      </w:r>
      <w:r w:rsidR="00E01B9F">
        <w:t xml:space="preserve"> eksploatuodama 3</w:t>
      </w:r>
      <w:r w:rsidR="000873E2">
        <w:t xml:space="preserve">6 </w:t>
      </w:r>
      <w:r w:rsidR="00E01B9F">
        <w:t>autobusus.</w:t>
      </w:r>
    </w:p>
    <w:p w:rsidR="000873E2" w:rsidRDefault="00DB3AA0" w:rsidP="00DB3AA0">
      <w:pPr>
        <w:pStyle w:val="NormalJustified"/>
        <w:ind w:firstLine="900"/>
      </w:pPr>
      <w:r>
        <w:t>Bendrovė</w:t>
      </w:r>
      <w:r w:rsidR="000873E2">
        <w:t xml:space="preserve"> nuo 2014 m. lapkričio 3 d. nutraukė tolimojo susisiekimo maršruto </w:t>
      </w:r>
      <w:r>
        <w:t>Palanga</w:t>
      </w:r>
      <w:r w:rsidR="00D02A8F">
        <w:t xml:space="preserve"> </w:t>
      </w:r>
      <w:r>
        <w:t>-</w:t>
      </w:r>
      <w:r w:rsidR="00D02A8F">
        <w:t xml:space="preserve"> </w:t>
      </w:r>
      <w:r>
        <w:t>N. Akmenė</w:t>
      </w:r>
      <w:r w:rsidR="000873E2">
        <w:t xml:space="preserve"> aptarnavimą</w:t>
      </w:r>
      <w:r>
        <w:t xml:space="preserve">. </w:t>
      </w:r>
    </w:p>
    <w:p w:rsidR="00CA4977" w:rsidRDefault="00E1371D" w:rsidP="00E01B9F">
      <w:pPr>
        <w:pStyle w:val="NormalJustified"/>
        <w:ind w:firstLine="900"/>
      </w:pPr>
      <w:r>
        <w:t>Pagrindiniai rodikliai</w:t>
      </w:r>
      <w:r w:rsidR="00B53AD7">
        <w:t>,</w:t>
      </w:r>
      <w:r>
        <w:t xml:space="preserve"> apibūdinantys keleivinio transporto</w:t>
      </w:r>
      <w:r w:rsidR="00DB3AA0">
        <w:t xml:space="preserve"> bendrovės</w:t>
      </w:r>
      <w:r w:rsidR="00E23237">
        <w:t xml:space="preserve"> pagrindinę</w:t>
      </w:r>
      <w:r>
        <w:t xml:space="preserve"> veiklą</w:t>
      </w:r>
      <w:r w:rsidR="00B53AD7">
        <w:t>,</w:t>
      </w:r>
      <w:r>
        <w:t xml:space="preserve"> yra </w:t>
      </w:r>
      <w:r w:rsidR="007E39FC">
        <w:t xml:space="preserve">bendrovės </w:t>
      </w:r>
      <w:r w:rsidR="00FE1469">
        <w:t xml:space="preserve">aptarnaujamų maršrutų </w:t>
      </w:r>
      <w:r w:rsidR="007E39FC">
        <w:t>skaičius</w:t>
      </w:r>
      <w:r w:rsidR="00FE1469">
        <w:t xml:space="preserve">, </w:t>
      </w:r>
      <w:r>
        <w:t>autobusų rida, pervežtų keleivių kiekis, gautos pajamos ir patirtos sąnaudos.</w:t>
      </w:r>
      <w:r w:rsidR="00CA4977">
        <w:t xml:space="preserve"> </w:t>
      </w:r>
      <w:r w:rsidR="007E39FC">
        <w:t>201</w:t>
      </w:r>
      <w:r w:rsidR="000873E2">
        <w:t xml:space="preserve">4 </w:t>
      </w:r>
      <w:r w:rsidR="007E39FC">
        <w:t>metų rodikliai</w:t>
      </w:r>
      <w:r w:rsidR="00B53AD7">
        <w:t xml:space="preserve"> </w:t>
      </w:r>
      <w:r w:rsidR="007E39FC">
        <w:t>pateikiami žemiau esančiuose grafikuose.</w:t>
      </w:r>
    </w:p>
    <w:p w:rsidR="00FE1469" w:rsidRDefault="00FE1469" w:rsidP="00E01B9F">
      <w:pPr>
        <w:pStyle w:val="NormalJustified"/>
        <w:ind w:firstLine="900"/>
      </w:pPr>
    </w:p>
    <w:p w:rsidR="006477AB" w:rsidRDefault="00FE1469" w:rsidP="00E01B9F">
      <w:pPr>
        <w:pStyle w:val="NormalJustified"/>
        <w:ind w:firstLine="900"/>
      </w:pPr>
      <w:r>
        <w:t xml:space="preserve">Aptarnaujamų maršrutų </w:t>
      </w:r>
      <w:r w:rsidR="007E39FC">
        <w:t>skaičius</w:t>
      </w:r>
      <w:r w:rsidR="00B63F49">
        <w:t>.</w:t>
      </w:r>
    </w:p>
    <w:p w:rsidR="00FE1469" w:rsidRDefault="00FE1469" w:rsidP="00E01B9F">
      <w:pPr>
        <w:pStyle w:val="NormalJustified"/>
        <w:ind w:firstLine="900"/>
      </w:pPr>
      <w:r>
        <w:t xml:space="preserve">Per ataskaitinį laikotarpį bendrovės aptarnaujamų </w:t>
      </w:r>
      <w:r w:rsidR="00F37AC5">
        <w:t xml:space="preserve">priemiesčio ir tolimojo susisiekimo </w:t>
      </w:r>
      <w:r>
        <w:t>maršrutų skaičius nekito –</w:t>
      </w:r>
      <w:r w:rsidR="00F37AC5">
        <w:t xml:space="preserve"> </w:t>
      </w:r>
      <w:r w:rsidR="000873E2">
        <w:t>4</w:t>
      </w:r>
      <w:r>
        <w:t xml:space="preserve"> </w:t>
      </w:r>
      <w:r w:rsidR="000873E2">
        <w:t xml:space="preserve">miesto, 33 </w:t>
      </w:r>
      <w:r>
        <w:t>priemiesčio ir 1 tolimojo susisiekimo maršruta</w:t>
      </w:r>
      <w:r w:rsidR="000873E2">
        <w:t>i.</w:t>
      </w:r>
    </w:p>
    <w:p w:rsidR="000873E2" w:rsidRDefault="000873E2" w:rsidP="00E01B9F">
      <w:pPr>
        <w:pStyle w:val="NormalJustified"/>
        <w:ind w:firstLine="900"/>
      </w:pPr>
    </w:p>
    <w:p w:rsidR="000873E2" w:rsidRDefault="00EA1042" w:rsidP="000873E2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296025" cy="2286000"/>
            <wp:effectExtent l="0" t="0" r="0" b="0"/>
            <wp:docPr id="3" name="Objekta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60CA" w:rsidRDefault="00EA1042" w:rsidP="00B610EA">
      <w:pPr>
        <w:pStyle w:val="NormalJustified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296025" cy="2286000"/>
            <wp:effectExtent l="0" t="0" r="0" b="0"/>
            <wp:docPr id="4" name="Objekta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B610EA">
        <w:tab/>
      </w:r>
      <w:r w:rsidR="00BD02F8">
        <w:t>Pastebėta, kad b</w:t>
      </w:r>
      <w:r w:rsidR="00B4250F">
        <w:t xml:space="preserve">endras </w:t>
      </w:r>
      <w:r w:rsidR="006477AB">
        <w:t>Lietuvos Respublikos keleivinio transporto įmonių pervežtų keleivių ki</w:t>
      </w:r>
      <w:r w:rsidR="00B53AD7">
        <w:t>e</w:t>
      </w:r>
      <w:r w:rsidR="006477AB">
        <w:t xml:space="preserve">kis </w:t>
      </w:r>
      <w:r w:rsidR="00E23237">
        <w:t>201</w:t>
      </w:r>
      <w:r w:rsidR="00F60AFA">
        <w:t>4</w:t>
      </w:r>
      <w:r w:rsidR="00E23237">
        <w:t xml:space="preserve"> metais išaugo </w:t>
      </w:r>
      <w:r w:rsidR="00F60AFA">
        <w:t>3</w:t>
      </w:r>
      <w:r w:rsidR="00E23237">
        <w:t xml:space="preserve"> procent</w:t>
      </w:r>
      <w:r w:rsidR="00F60AFA">
        <w:t>ais</w:t>
      </w:r>
      <w:r w:rsidR="00E23237">
        <w:t>.</w:t>
      </w:r>
      <w:r w:rsidR="001060CA">
        <w:t xml:space="preserve"> Pervežamų keleivių kiekis</w:t>
      </w:r>
      <w:r w:rsidR="008604BA">
        <w:t xml:space="preserve"> ir pajamos</w:t>
      </w:r>
      <w:r w:rsidR="001060CA">
        <w:t xml:space="preserve"> augo tose savivaldybėse</w:t>
      </w:r>
      <w:r w:rsidR="001C6EF8">
        <w:t xml:space="preserve"> (Vilniaus, Kauno, Klaipėdos)</w:t>
      </w:r>
      <w:r w:rsidR="001060CA">
        <w:t xml:space="preserve">, kuriose buvo pertvarkyta viešojo transporto </w:t>
      </w:r>
      <w:r w:rsidR="001C6EF8">
        <w:t>sistema</w:t>
      </w:r>
      <w:r w:rsidR="007F3D47">
        <w:t>,</w:t>
      </w:r>
      <w:r w:rsidR="001C6EF8">
        <w:t xml:space="preserve"> privačius vežėjus</w:t>
      </w:r>
      <w:r w:rsidR="004356B3">
        <w:t xml:space="preserve"> ir mokyklinius autobusus</w:t>
      </w:r>
      <w:r w:rsidR="001C6EF8">
        <w:t xml:space="preserve"> integruojant į bendrą viešojo transporto sistemą, o ne dubliuojant viešąjį transportą privačiu</w:t>
      </w:r>
      <w:r w:rsidR="004356B3">
        <w:t xml:space="preserve"> transportu bei mokykliniais autobusais</w:t>
      </w:r>
      <w:r w:rsidR="001C6EF8">
        <w:t>.</w:t>
      </w:r>
    </w:p>
    <w:p w:rsidR="00B610EA" w:rsidRDefault="00EA1042" w:rsidP="00B610EA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296025" cy="2286000"/>
            <wp:effectExtent l="0" t="0" r="0" b="0"/>
            <wp:docPr id="5" name="Objekta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0185" w:rsidRPr="007F3D47" w:rsidRDefault="00EA1042" w:rsidP="00983C1A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296025" cy="2286000"/>
            <wp:effectExtent l="0" t="0" r="0" b="0"/>
            <wp:docPr id="6" name="Objekta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3237" w:rsidRDefault="00A17794" w:rsidP="00E23237">
      <w:pPr>
        <w:pStyle w:val="NormalJustified"/>
        <w:ind w:firstLine="900"/>
      </w:pPr>
      <w:r>
        <w:t>Šalies</w:t>
      </w:r>
      <w:r w:rsidR="00E23237">
        <w:t xml:space="preserve"> keleivinio transporto įmonės skaičiuoja vienam autobusui bei vienam nuvažiuotam kilometrui tenkančią sąnaudų dalį. </w:t>
      </w:r>
      <w:r w:rsidR="003879DC">
        <w:t>Šalies</w:t>
      </w:r>
      <w:r w:rsidR="00E23237">
        <w:t xml:space="preserve"> vidurkis</w:t>
      </w:r>
      <w:r w:rsidR="00B53AD7">
        <w:t>,</w:t>
      </w:r>
      <w:r w:rsidR="00E23237">
        <w:t xml:space="preserve"> tenkantis vienam autobusui</w:t>
      </w:r>
      <w:r w:rsidR="00B53AD7">
        <w:t>,</w:t>
      </w:r>
      <w:r w:rsidR="00E23237">
        <w:t xml:space="preserve"> yra </w:t>
      </w:r>
      <w:r w:rsidR="00AF6733">
        <w:t>188,53</w:t>
      </w:r>
      <w:r w:rsidR="00F9118D">
        <w:t xml:space="preserve"> </w:t>
      </w:r>
      <w:r w:rsidR="00E23237">
        <w:t>tūkst. Lt, o 1 kilometrui tenkanti sąnaudų dalis –</w:t>
      </w:r>
      <w:r w:rsidR="00AF6733">
        <w:t>3,54</w:t>
      </w:r>
      <w:r w:rsidR="00E23237">
        <w:t xml:space="preserve"> Lt, UAB Kretingos autobusų park</w:t>
      </w:r>
      <w:r w:rsidR="003879DC">
        <w:t>o</w:t>
      </w:r>
      <w:r w:rsidR="00E23237">
        <w:t xml:space="preserve"> sąnaudų dalis</w:t>
      </w:r>
      <w:r w:rsidR="00B53AD7">
        <w:t>,</w:t>
      </w:r>
      <w:r w:rsidR="00E23237">
        <w:t xml:space="preserve"> tenkanti vienam bendrovės autobusui</w:t>
      </w:r>
      <w:r w:rsidR="00B53AD7">
        <w:t>,</w:t>
      </w:r>
      <w:r w:rsidR="00E23237">
        <w:t xml:space="preserve"> </w:t>
      </w:r>
      <w:r>
        <w:t>yra</w:t>
      </w:r>
      <w:r w:rsidR="00F9118D">
        <w:t xml:space="preserve"> </w:t>
      </w:r>
      <w:r w:rsidR="00AF6733">
        <w:t>110,48</w:t>
      </w:r>
      <w:r w:rsidR="00E23237">
        <w:t xml:space="preserve"> tūkst. Lt, o 1 kilometrui tenkanti sąnaudų dalis –</w:t>
      </w:r>
      <w:r w:rsidR="00AF6733">
        <w:t>3,61</w:t>
      </w:r>
      <w:r w:rsidR="004D52FC">
        <w:t xml:space="preserve"> </w:t>
      </w:r>
      <w:r w:rsidR="00E23237">
        <w:t>Lt.</w:t>
      </w:r>
    </w:p>
    <w:p w:rsidR="00E23237" w:rsidRDefault="00E23237" w:rsidP="00E23237">
      <w:pPr>
        <w:pStyle w:val="NormalJustified"/>
      </w:pPr>
    </w:p>
    <w:p w:rsidR="00E23237" w:rsidRDefault="00EA1042" w:rsidP="00E23237">
      <w:pPr>
        <w:pStyle w:val="NormalJustified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286500" cy="2133600"/>
            <wp:effectExtent l="0" t="0" r="0" b="0"/>
            <wp:docPr id="7" name="Objekta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3850" w:rsidRPr="006A54A1" w:rsidRDefault="005D3850" w:rsidP="00C65736">
      <w:pPr>
        <w:pStyle w:val="NormalJustified"/>
      </w:pPr>
    </w:p>
    <w:p w:rsidR="00E23237" w:rsidRDefault="008604BA" w:rsidP="006460F3">
      <w:pPr>
        <w:pStyle w:val="NormalJustified"/>
        <w:ind w:firstLine="900"/>
      </w:pPr>
      <w:r>
        <w:t>Žemiau esančiame</w:t>
      </w:r>
      <w:r w:rsidR="00901F2E">
        <w:t xml:space="preserve"> grafike pateikiame </w:t>
      </w:r>
      <w:r>
        <w:t xml:space="preserve">informaciją apie </w:t>
      </w:r>
      <w:r w:rsidR="00901F2E">
        <w:t>kompensacijų už lengvatinius bilietus, mokinių pavežėjimą</w:t>
      </w:r>
      <w:r>
        <w:t>,</w:t>
      </w:r>
      <w:r w:rsidR="00901F2E">
        <w:t xml:space="preserve"> dotacijų</w:t>
      </w:r>
      <w:r>
        <w:t>, savivaldybės įsiskolinimo</w:t>
      </w:r>
      <w:r w:rsidR="00901F2E">
        <w:t xml:space="preserve"> pokytį per 2010-201</w:t>
      </w:r>
      <w:r w:rsidR="00832BA7">
        <w:t>4</w:t>
      </w:r>
      <w:r w:rsidR="00901F2E">
        <w:t xml:space="preserve"> metus.</w:t>
      </w:r>
    </w:p>
    <w:p w:rsidR="005D3850" w:rsidRDefault="005D3850" w:rsidP="006460F3">
      <w:pPr>
        <w:pStyle w:val="NormalJustified"/>
        <w:ind w:firstLine="900"/>
      </w:pPr>
    </w:p>
    <w:p w:rsidR="00031E6A" w:rsidRDefault="00EA1042" w:rsidP="00031E6A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248400" cy="2533650"/>
            <wp:effectExtent l="0" t="0" r="0" b="0"/>
            <wp:docPr id="8" name="Objekta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69E4" w:rsidRPr="00E23237" w:rsidRDefault="00E23237" w:rsidP="006460F3">
      <w:pPr>
        <w:pStyle w:val="NormalJustified"/>
        <w:ind w:firstLine="900"/>
      </w:pPr>
      <w:r w:rsidRPr="00E23237">
        <w:t>201</w:t>
      </w:r>
      <w:r w:rsidR="00814957">
        <w:t>3</w:t>
      </w:r>
      <w:r w:rsidRPr="00E23237">
        <w:t xml:space="preserve"> metų</w:t>
      </w:r>
      <w:r w:rsidR="00A80715">
        <w:t xml:space="preserve"> bendrovės</w:t>
      </w:r>
      <w:r w:rsidRPr="00E23237">
        <w:t xml:space="preserve"> </w:t>
      </w:r>
      <w:r>
        <w:t>pagrindinės</w:t>
      </w:r>
      <w:r w:rsidRPr="00E23237">
        <w:t xml:space="preserve"> veiklos sąnaudų struktūra ir dinamika</w:t>
      </w:r>
      <w:r>
        <w:t xml:space="preserve"> pateikiama </w:t>
      </w:r>
      <w:r w:rsidR="00E32351">
        <w:t>šioje</w:t>
      </w:r>
      <w:r>
        <w:t xml:space="preserve"> lentelėje.</w:t>
      </w:r>
    </w:p>
    <w:tbl>
      <w:tblPr>
        <w:tblW w:w="97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801"/>
        <w:gridCol w:w="709"/>
        <w:gridCol w:w="850"/>
        <w:gridCol w:w="708"/>
        <w:gridCol w:w="851"/>
        <w:gridCol w:w="709"/>
        <w:gridCol w:w="850"/>
        <w:gridCol w:w="709"/>
        <w:gridCol w:w="851"/>
        <w:gridCol w:w="850"/>
      </w:tblGrid>
      <w:tr w:rsidR="00025D19" w:rsidRPr="00025D19" w:rsidTr="00025D19">
        <w:trPr>
          <w:trHeight w:val="495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Sąnaudų straipsniai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2014 m.,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2014 m. sąnaudų strukt., proc.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2013 m.,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2013 m. sąnaudų strukt., proc.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2012 m.,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2012 m. sąnaudų strukt., proc.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2011 m.,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2011 m. sąnaudų strukt., proc.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Palyginimas</w:t>
            </w:r>
          </w:p>
        </w:tc>
      </w:tr>
      <w:tr w:rsidR="00025D19" w:rsidRPr="00025D19" w:rsidTr="00025D19">
        <w:trPr>
          <w:trHeight w:val="525"/>
        </w:trPr>
        <w:tc>
          <w:tcPr>
            <w:tcW w:w="1858" w:type="dxa"/>
            <w:vMerge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ind w:left="-108" w:right="-93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tūkst.Lt</w:t>
            </w:r>
          </w:p>
        </w:tc>
        <w:tc>
          <w:tcPr>
            <w:tcW w:w="709" w:type="dxa"/>
            <w:vMerge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tūkst.</w:t>
            </w:r>
            <w:r w:rsidRPr="00025D19">
              <w:rPr>
                <w:sz w:val="18"/>
                <w:szCs w:val="18"/>
              </w:rPr>
              <w:t>Lt</w:t>
            </w:r>
          </w:p>
        </w:tc>
        <w:tc>
          <w:tcPr>
            <w:tcW w:w="708" w:type="dxa"/>
            <w:vMerge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tūkst. Lt</w:t>
            </w:r>
          </w:p>
        </w:tc>
        <w:tc>
          <w:tcPr>
            <w:tcW w:w="709" w:type="dxa"/>
            <w:vMerge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tūkst. Lt</w:t>
            </w:r>
          </w:p>
        </w:tc>
        <w:tc>
          <w:tcPr>
            <w:tcW w:w="709" w:type="dxa"/>
            <w:vMerge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2014-2013, Lt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2014 / 2013, proc.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iCs/>
                <w:sz w:val="18"/>
                <w:szCs w:val="18"/>
                <w:lang w:val="lt-LT"/>
              </w:rPr>
            </w:pPr>
            <w:r>
              <w:rPr>
                <w:iCs/>
                <w:sz w:val="18"/>
                <w:szCs w:val="18"/>
                <w:lang w:val="lt-LT"/>
              </w:rPr>
              <w:t>11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 xml:space="preserve">Tiesioginės sąnaudos 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2636,64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2751,32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2837,15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2943,39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-114680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95,8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 xml:space="preserve">Iš jų :       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medžiagos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37,16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43,62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40,07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43,49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-6460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85,2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bilietai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120,0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kuras ir tepalai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833,58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921,25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995,43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991,03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-87670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90,5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detalės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140,76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157,97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149,18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158,66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-17210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89,1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agregatai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8010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421,7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padangos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61,79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39,93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43,39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43,99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21860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154,7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autobusų amortizacija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151,33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167,57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164,48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160,91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-16240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90,3</w:t>
            </w:r>
          </w:p>
        </w:tc>
      </w:tr>
    </w:tbl>
    <w:p w:rsidR="00025D19" w:rsidRDefault="00025D19">
      <w:r>
        <w:br w:type="page"/>
      </w:r>
    </w:p>
    <w:tbl>
      <w:tblPr>
        <w:tblW w:w="97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801"/>
        <w:gridCol w:w="709"/>
        <w:gridCol w:w="850"/>
        <w:gridCol w:w="708"/>
        <w:gridCol w:w="851"/>
        <w:gridCol w:w="709"/>
        <w:gridCol w:w="850"/>
        <w:gridCol w:w="709"/>
        <w:gridCol w:w="851"/>
        <w:gridCol w:w="850"/>
      </w:tblGrid>
      <w:tr w:rsidR="00025D19" w:rsidRPr="00025D19" w:rsidTr="00025D19">
        <w:trPr>
          <w:trHeight w:val="183"/>
        </w:trPr>
        <w:tc>
          <w:tcPr>
            <w:tcW w:w="1858" w:type="dxa"/>
            <w:shd w:val="clear" w:color="auto" w:fill="auto"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center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</w:t>
            </w: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darbo užmokestis (vairuotojų konduktorių, remontininkų)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1020,51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1041,99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1060,06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1126,3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-21480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97,9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soc. draudimo sąnaudos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315,26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321,93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327,53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347,57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-6670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97,9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inventorius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13,27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8,17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7820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243,5</w:t>
            </w: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Autobusų remontas kitose įmonėse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49,61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41,08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36,53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45,184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8530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120,8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Autobusų draudimas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13,41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1370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111,4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Dienpinigiai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430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386,7</w:t>
            </w:r>
          </w:p>
        </w:tc>
      </w:tr>
      <w:tr w:rsidR="00025D19" w:rsidRPr="00025D19" w:rsidTr="00025D19">
        <w:trPr>
          <w:trHeight w:val="79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Sąnaudos, kompensuotos darbuotojų , draudimo, Darbo biržos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-13,46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-6,10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-2,46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-1,71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-7360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220,7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Netiesioginės sąnaudos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1340,78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1280,94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1265,06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1275,17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59840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104,7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Iš jų :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medžiagos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27,44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34,80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24,27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33,35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-7360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78,9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kuras ir tepalai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26,94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28,85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30,85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29,75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-1910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93,4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detalės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5,24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9,34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73,5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agregatai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padangos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370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124,7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inventorius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4,02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10,14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6,74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-6120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39,6</w:t>
            </w: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mokesčiai (taršos, garantinis f., nekilnojamojo turto, kelių)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44,6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40,16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37,16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31,75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4440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111,1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amortizacija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84,55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43,49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42,92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29,77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41060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194,4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darbo užmokestis (pag.ir tarnt.)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756,16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745,56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716,22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749,17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101,4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soc. draudimo sąnaudos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234,5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230,50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221,4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231,37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4000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101,7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 xml:space="preserve">Įvairūs patarnavimai ir kt.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168,83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167,25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160,22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152,34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100,9</w:t>
            </w: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Abejotinų skolų įvertinimo sąnaudos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22,94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center"/>
              <w:rPr>
                <w:i/>
                <w:iCs/>
                <w:sz w:val="18"/>
                <w:szCs w:val="18"/>
                <w:lang w:val="lt-LT"/>
              </w:rPr>
            </w:pP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Veiklos sąnaudos priskirtos kitai veiklai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-21,27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-1,7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21270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25D19" w:rsidRPr="00025D19" w:rsidTr="00025D19">
        <w:trPr>
          <w:trHeight w:val="540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Dotacijos viešiesiems darbams ir darbo biržos subsidijos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-11,57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-6,59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-4980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175,6</w:t>
            </w: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Draudimo išmoka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-0,41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-410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025D19" w:rsidRPr="00025D19" w:rsidTr="00025D19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Iš viso sąnaudų :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3977,42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4032,26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4102,21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4218,56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sz w:val="18"/>
                <w:szCs w:val="18"/>
              </w:rPr>
            </w:pPr>
            <w:r w:rsidRPr="00025D1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-54840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5D19" w:rsidRPr="00025D19" w:rsidRDefault="00025D19" w:rsidP="00025D19">
            <w:pPr>
              <w:jc w:val="right"/>
              <w:rPr>
                <w:i/>
                <w:iCs/>
                <w:sz w:val="18"/>
                <w:szCs w:val="18"/>
              </w:rPr>
            </w:pPr>
            <w:r w:rsidRPr="00025D19">
              <w:rPr>
                <w:i/>
                <w:iCs/>
                <w:sz w:val="18"/>
                <w:szCs w:val="18"/>
              </w:rPr>
              <w:t>98,6</w:t>
            </w:r>
          </w:p>
        </w:tc>
      </w:tr>
    </w:tbl>
    <w:p w:rsidR="00620730" w:rsidRDefault="00620730" w:rsidP="006460F3">
      <w:pPr>
        <w:pStyle w:val="NormalJustified"/>
        <w:ind w:firstLine="900"/>
      </w:pPr>
    </w:p>
    <w:p w:rsidR="00E23237" w:rsidRDefault="00E23237" w:rsidP="006460F3">
      <w:pPr>
        <w:pStyle w:val="NormalJustified"/>
        <w:ind w:firstLine="900"/>
      </w:pPr>
      <w:r>
        <w:t>P</w:t>
      </w:r>
      <w:r w:rsidRPr="00C119D3">
        <w:t>apildom</w:t>
      </w:r>
      <w:r>
        <w:t>a bendrovės veikla, iš kurios gaunamos papildomos pajamos</w:t>
      </w:r>
      <w:r w:rsidR="00E32351">
        <w:t>,</w:t>
      </w:r>
      <w:r w:rsidRPr="00C119D3">
        <w:t xml:space="preserve"> – automobilių stovėjimo aikštelių pri</w:t>
      </w:r>
      <w:r w:rsidR="00D23F02">
        <w:t>e</w:t>
      </w:r>
      <w:r w:rsidRPr="00C119D3">
        <w:t>žiūr</w:t>
      </w:r>
      <w:r w:rsidR="00E32351">
        <w:t>os</w:t>
      </w:r>
      <w:r w:rsidRPr="00C119D3">
        <w:t xml:space="preserve"> veikl</w:t>
      </w:r>
      <w:r>
        <w:t xml:space="preserve">a, autobusų stoties </w:t>
      </w:r>
      <w:r w:rsidR="004356B3">
        <w:t>administravimas</w:t>
      </w:r>
      <w:r>
        <w:t xml:space="preserve">, </w:t>
      </w:r>
      <w:r w:rsidR="00AE4A1E">
        <w:t xml:space="preserve">reklaminių plotų ant autobusų </w:t>
      </w:r>
      <w:r w:rsidR="009B3EE5">
        <w:t xml:space="preserve">ir autobusų plovimo įrenginio </w:t>
      </w:r>
      <w:r w:rsidR="00AE4A1E">
        <w:t>nuoma</w:t>
      </w:r>
      <w:r w:rsidRPr="00C119D3">
        <w:t>.</w:t>
      </w:r>
    </w:p>
    <w:p w:rsidR="00E23237" w:rsidRDefault="00E23237" w:rsidP="006460F3">
      <w:pPr>
        <w:pStyle w:val="NormalJustified"/>
        <w:ind w:firstLine="900"/>
      </w:pPr>
      <w:r w:rsidRPr="001A46F5">
        <w:t>Per ataskaitinį laikotarpį</w:t>
      </w:r>
      <w:r w:rsidR="00AE4A1E">
        <w:t xml:space="preserve"> </w:t>
      </w:r>
      <w:r>
        <w:t xml:space="preserve">iš kitos veiklos gauta </w:t>
      </w:r>
      <w:r w:rsidR="00372D46">
        <w:t>73,7</w:t>
      </w:r>
      <w:r>
        <w:t xml:space="preserve"> </w:t>
      </w:r>
      <w:r w:rsidR="00160468">
        <w:t>tūkst. Lt</w:t>
      </w:r>
      <w:r>
        <w:t xml:space="preserve"> pajamų, tai </w:t>
      </w:r>
      <w:r w:rsidR="00372D46">
        <w:t>91,3</w:t>
      </w:r>
      <w:r>
        <w:t xml:space="preserve"> </w:t>
      </w:r>
      <w:r w:rsidR="00160468">
        <w:t>tūkst. Lt</w:t>
      </w:r>
      <w:r w:rsidR="001A7F5B">
        <w:t xml:space="preserve"> arba </w:t>
      </w:r>
      <w:r w:rsidR="00372D46">
        <w:t>55</w:t>
      </w:r>
      <w:r w:rsidR="001A7F5B">
        <w:t xml:space="preserve"> procent</w:t>
      </w:r>
      <w:r w:rsidR="00372D46">
        <w:t>ais maž</w:t>
      </w:r>
      <w:r>
        <w:t>iau nei 201</w:t>
      </w:r>
      <w:r w:rsidR="00372D46">
        <w:t>3</w:t>
      </w:r>
      <w:r>
        <w:t xml:space="preserve"> m.. Sąnaudų patirta </w:t>
      </w:r>
      <w:r w:rsidR="00372D46">
        <w:t>7,1</w:t>
      </w:r>
      <w:r>
        <w:t xml:space="preserve"> </w:t>
      </w:r>
      <w:r w:rsidR="00160468">
        <w:t>tūkst. Lt</w:t>
      </w:r>
      <w:r>
        <w:t xml:space="preserve">, todėl gautas </w:t>
      </w:r>
      <w:r w:rsidR="00372D46">
        <w:t>66,6</w:t>
      </w:r>
      <w:r w:rsidR="00810B8C">
        <w:t xml:space="preserve"> </w:t>
      </w:r>
      <w:r w:rsidR="00160468">
        <w:t>tūkst. Lt</w:t>
      </w:r>
      <w:r w:rsidR="00810B8C">
        <w:t xml:space="preserve"> </w:t>
      </w:r>
      <w:r>
        <w:t xml:space="preserve">pelnas iš papildomos veiklos </w:t>
      </w:r>
      <w:r w:rsidR="00372D46">
        <w:t>sumažino</w:t>
      </w:r>
      <w:r>
        <w:t xml:space="preserve"> bendrovės</w:t>
      </w:r>
      <w:r w:rsidR="00372D46">
        <w:t xml:space="preserve"> patiriamą nuostolį iš pagrindinės veiklos ir pagerino</w:t>
      </w:r>
      <w:r w:rsidR="00AE4A1E">
        <w:t xml:space="preserve"> finansinę</w:t>
      </w:r>
      <w:r>
        <w:t xml:space="preserve"> padėtį.</w:t>
      </w:r>
    </w:p>
    <w:p w:rsidR="00B63F49" w:rsidRDefault="00B63F49" w:rsidP="006460F3">
      <w:pPr>
        <w:pStyle w:val="NormalJustified"/>
        <w:ind w:firstLine="900"/>
      </w:pPr>
    </w:p>
    <w:p w:rsidR="00163C46" w:rsidRPr="00A17B4B" w:rsidRDefault="00163C46" w:rsidP="00163C46">
      <w:pPr>
        <w:pStyle w:val="NormalJustified"/>
        <w:ind w:firstLine="900"/>
        <w:rPr>
          <w:i/>
        </w:rPr>
      </w:pPr>
      <w:r>
        <w:rPr>
          <w:i/>
        </w:rPr>
        <w:t>B</w:t>
      </w:r>
      <w:r w:rsidRPr="00A17B4B">
        <w:rPr>
          <w:i/>
        </w:rPr>
        <w:t xml:space="preserve">endrovės </w:t>
      </w:r>
      <w:r>
        <w:rPr>
          <w:i/>
        </w:rPr>
        <w:t>veiklos finansinis rezultatas</w:t>
      </w:r>
      <w:r w:rsidRPr="00A17B4B">
        <w:rPr>
          <w:i/>
        </w:rPr>
        <w:t xml:space="preserve">. </w:t>
      </w:r>
    </w:p>
    <w:p w:rsidR="00EA1042" w:rsidRDefault="00EA1042" w:rsidP="00EA1042">
      <w:pPr>
        <w:pStyle w:val="NormalJustified"/>
      </w:pPr>
      <w:r>
        <w:rPr>
          <w:noProof/>
          <w:lang w:val="en-US" w:eastAsia="en-US"/>
        </w:rPr>
        <w:drawing>
          <wp:inline distT="0" distB="0" distL="0" distR="0">
            <wp:extent cx="6305550" cy="2457450"/>
            <wp:effectExtent l="0" t="0" r="0" b="0"/>
            <wp:docPr id="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46" w:rsidRPr="00990556" w:rsidRDefault="00163C46" w:rsidP="00970F86">
      <w:pPr>
        <w:pStyle w:val="NormalJustified"/>
        <w:ind w:firstLine="900"/>
      </w:pPr>
      <w:r>
        <w:t>Bendrovė per 201</w:t>
      </w:r>
      <w:r w:rsidR="00970F86">
        <w:t>4</w:t>
      </w:r>
      <w:r>
        <w:t xml:space="preserve"> metus sumokėjo </w:t>
      </w:r>
      <w:r w:rsidR="0041186E" w:rsidRPr="007131FC">
        <w:t>1,</w:t>
      </w:r>
      <w:r w:rsidR="007131FC" w:rsidRPr="007131FC">
        <w:t>3</w:t>
      </w:r>
      <w:r w:rsidR="00970F86">
        <w:t>27</w:t>
      </w:r>
      <w:r w:rsidR="0041186E">
        <w:t xml:space="preserve"> </w:t>
      </w:r>
      <w:r>
        <w:t xml:space="preserve">mln. Lt mokesčių, iš jų PVM mokesčio </w:t>
      </w:r>
      <w:r w:rsidR="0041186E">
        <w:t>–</w:t>
      </w:r>
      <w:r>
        <w:t xml:space="preserve"> </w:t>
      </w:r>
      <w:r w:rsidR="00970F86">
        <w:t>333,8</w:t>
      </w:r>
      <w:r w:rsidR="0041186E">
        <w:t xml:space="preserve"> </w:t>
      </w:r>
      <w:r>
        <w:t xml:space="preserve">tūkst. Lt, GPM </w:t>
      </w:r>
      <w:r w:rsidR="0041186E">
        <w:t>–</w:t>
      </w:r>
      <w:r>
        <w:t xml:space="preserve"> </w:t>
      </w:r>
      <w:r w:rsidR="00970F86">
        <w:t>234,5</w:t>
      </w:r>
      <w:r w:rsidR="0041186E" w:rsidRPr="005D569F">
        <w:t xml:space="preserve"> </w:t>
      </w:r>
      <w:r w:rsidRPr="005D569F">
        <w:t>tūkst</w:t>
      </w:r>
      <w:r>
        <w:t xml:space="preserve">. Lt, </w:t>
      </w:r>
      <w:r w:rsidR="00E32351">
        <w:t>„</w:t>
      </w:r>
      <w:r>
        <w:t>Sodrai</w:t>
      </w:r>
      <w:r w:rsidR="00E32351">
        <w:t>“</w:t>
      </w:r>
      <w:r>
        <w:t xml:space="preserve"> </w:t>
      </w:r>
      <w:r w:rsidR="0041186E" w:rsidRPr="005D569F">
        <w:t>–</w:t>
      </w:r>
      <w:r w:rsidRPr="005D569F">
        <w:t xml:space="preserve"> </w:t>
      </w:r>
      <w:r w:rsidR="00970F86">
        <w:t>715</w:t>
      </w:r>
      <w:r w:rsidR="0041186E" w:rsidRPr="005D569F">
        <w:t xml:space="preserve"> </w:t>
      </w:r>
      <w:r w:rsidRPr="005D569F">
        <w:t>tūkst</w:t>
      </w:r>
      <w:r>
        <w:t>. Lt</w:t>
      </w:r>
      <w:r w:rsidR="0041186E">
        <w:t xml:space="preserve">, kitų mokesčių – </w:t>
      </w:r>
      <w:r w:rsidR="00970F86">
        <w:t>44,6</w:t>
      </w:r>
      <w:r w:rsidR="0041186E">
        <w:t xml:space="preserve"> tūkst. Lt</w:t>
      </w:r>
      <w:r>
        <w:t>.</w:t>
      </w:r>
    </w:p>
    <w:p w:rsidR="00A62388" w:rsidRDefault="00163C46" w:rsidP="00A62388">
      <w:pPr>
        <w:pStyle w:val="NormalJustified"/>
        <w:ind w:firstLine="900"/>
      </w:pPr>
      <w:r w:rsidRPr="00141CF0">
        <w:t>Kretingos rajono savivaldybė mūsų bendrovei</w:t>
      </w:r>
      <w:r>
        <w:t xml:space="preserve"> už 201</w:t>
      </w:r>
      <w:r w:rsidR="00970F86">
        <w:t>4</w:t>
      </w:r>
      <w:r>
        <w:t xml:space="preserve"> me</w:t>
      </w:r>
      <w:bookmarkStart w:id="0" w:name="_GoBack"/>
      <w:bookmarkEnd w:id="0"/>
      <w:r>
        <w:t xml:space="preserve">tų </w:t>
      </w:r>
      <w:r w:rsidRPr="005D69E4">
        <w:t xml:space="preserve">gruodžio </w:t>
      </w:r>
      <w:r w:rsidR="00970F86">
        <w:t>31 d.</w:t>
      </w:r>
      <w:r w:rsidRPr="00141CF0">
        <w:t xml:space="preserve"> liko skolinga –</w:t>
      </w:r>
      <w:r>
        <w:t xml:space="preserve"> </w:t>
      </w:r>
      <w:r w:rsidR="00970F86">
        <w:t>405,7 tūkst. Lt, tačiau šiuo metu rajono savivaldybės administraciją įsiskolinimą panaikino ir bendrovei neskolinga</w:t>
      </w:r>
      <w:r w:rsidRPr="00141CF0">
        <w:t>.</w:t>
      </w:r>
    </w:p>
    <w:p w:rsidR="009F0934" w:rsidRPr="00883383" w:rsidRDefault="00883383" w:rsidP="00883383">
      <w:pPr>
        <w:autoSpaceDE w:val="0"/>
        <w:autoSpaceDN w:val="0"/>
        <w:adjustRightInd w:val="0"/>
        <w:ind w:firstLine="900"/>
        <w:jc w:val="both"/>
        <w:rPr>
          <w:b/>
          <w:lang w:val="lt-LT"/>
        </w:rPr>
      </w:pPr>
      <w:r w:rsidRPr="00883383">
        <w:rPr>
          <w:lang w:val="lt-LT"/>
        </w:rPr>
        <w:t>201</w:t>
      </w:r>
      <w:r w:rsidR="00DB548A">
        <w:rPr>
          <w:lang w:val="lt-LT"/>
        </w:rPr>
        <w:t>4</w:t>
      </w:r>
      <w:r w:rsidRPr="00883383">
        <w:rPr>
          <w:lang w:val="lt-LT"/>
        </w:rPr>
        <w:t xml:space="preserve"> m. </w:t>
      </w:r>
      <w:r w:rsidR="00970F86">
        <w:rPr>
          <w:lang w:val="lt-LT"/>
        </w:rPr>
        <w:t>spalio-lapkričio</w:t>
      </w:r>
      <w:r w:rsidRPr="00883383">
        <w:rPr>
          <w:lang w:val="lt-LT"/>
        </w:rPr>
        <w:t xml:space="preserve"> mėn. buvo </w:t>
      </w:r>
      <w:r w:rsidR="00970F86">
        <w:rPr>
          <w:lang w:val="lt-LT"/>
        </w:rPr>
        <w:t xml:space="preserve">Kretingos rajono savivaldybės kontrolės ir audito tarnybos kontrolieriai atliko </w:t>
      </w:r>
      <w:r w:rsidR="00587F46">
        <w:rPr>
          <w:lang w:val="lt-LT"/>
        </w:rPr>
        <w:t>UAB</w:t>
      </w:r>
      <w:r w:rsidRPr="00883383">
        <w:rPr>
          <w:lang w:val="lt-LT"/>
        </w:rPr>
        <w:t xml:space="preserve"> Kretingos</w:t>
      </w:r>
      <w:r w:rsidR="00587F46">
        <w:rPr>
          <w:lang w:val="lt-LT"/>
        </w:rPr>
        <w:t xml:space="preserve"> </w:t>
      </w:r>
      <w:r w:rsidRPr="00883383">
        <w:rPr>
          <w:lang w:val="lt-LT"/>
        </w:rPr>
        <w:t>autobus</w:t>
      </w:r>
      <w:r w:rsidR="00587F46">
        <w:rPr>
          <w:lang w:val="lt-LT"/>
        </w:rPr>
        <w:t>ų</w:t>
      </w:r>
      <w:r w:rsidRPr="00883383">
        <w:rPr>
          <w:lang w:val="lt-LT"/>
        </w:rPr>
        <w:t xml:space="preserve"> park</w:t>
      </w:r>
      <w:r w:rsidR="003879DC">
        <w:rPr>
          <w:lang w:val="lt-LT"/>
        </w:rPr>
        <w:t>o</w:t>
      </w:r>
      <w:r w:rsidRPr="00883383">
        <w:rPr>
          <w:lang w:val="lt-LT"/>
        </w:rPr>
        <w:t xml:space="preserve"> 201</w:t>
      </w:r>
      <w:r w:rsidR="00DB548A">
        <w:rPr>
          <w:lang w:val="lt-LT"/>
        </w:rPr>
        <w:t>3</w:t>
      </w:r>
      <w:r w:rsidRPr="00883383">
        <w:rPr>
          <w:lang w:val="lt-LT"/>
        </w:rPr>
        <w:t xml:space="preserve"> m.</w:t>
      </w:r>
      <w:r w:rsidR="00970F86">
        <w:rPr>
          <w:lang w:val="lt-LT"/>
        </w:rPr>
        <w:t xml:space="preserve"> ir 2014 m. 9 mėnesių lengvatinio keleivių vežimo ribotos apimties auditą. Su atlikto audito ataskaita visi supažindinti ir šioje ataskaitoje daugiau neišsiplėsiu</w:t>
      </w:r>
      <w:r w:rsidRPr="00883383">
        <w:rPr>
          <w:lang w:val="lt-LT"/>
        </w:rPr>
        <w:t xml:space="preserve">. </w:t>
      </w:r>
    </w:p>
    <w:p w:rsidR="0041186E" w:rsidRDefault="0041186E" w:rsidP="00163C46">
      <w:pPr>
        <w:pStyle w:val="NormalJustified"/>
        <w:ind w:firstLine="900"/>
      </w:pPr>
    </w:p>
    <w:p w:rsidR="00367DE9" w:rsidRPr="00A17B4B" w:rsidRDefault="005554BE" w:rsidP="00367DE9">
      <w:pPr>
        <w:pStyle w:val="NormalJustified"/>
        <w:ind w:firstLine="900"/>
        <w:rPr>
          <w:i/>
        </w:rPr>
      </w:pPr>
      <w:r>
        <w:rPr>
          <w:i/>
        </w:rPr>
        <w:t>Bendrovės turtas.</w:t>
      </w:r>
    </w:p>
    <w:p w:rsidR="00367DE9" w:rsidRPr="00A62388" w:rsidRDefault="00DA3BE5" w:rsidP="004C7906">
      <w:pPr>
        <w:ind w:firstLine="900"/>
        <w:jc w:val="both"/>
        <w:rPr>
          <w:lang w:val="lt-LT"/>
        </w:rPr>
      </w:pPr>
      <w:r w:rsidRPr="004C7906">
        <w:rPr>
          <w:lang w:val="lt-LT"/>
        </w:rPr>
        <w:t xml:space="preserve">Bendrovės įsigytas turtas nuosavybės teise priklauso bendrovei. </w:t>
      </w:r>
      <w:r w:rsidR="009D34BC" w:rsidRPr="004C7906">
        <w:rPr>
          <w:lang w:val="lt-LT"/>
        </w:rPr>
        <w:t>Bendrovė per 201</w:t>
      </w:r>
      <w:r w:rsidR="00970F86">
        <w:rPr>
          <w:lang w:val="lt-LT"/>
        </w:rPr>
        <w:t>4</w:t>
      </w:r>
      <w:r w:rsidR="009D34BC" w:rsidRPr="004C7906">
        <w:rPr>
          <w:lang w:val="lt-LT"/>
        </w:rPr>
        <w:t xml:space="preserve"> metus įsigijo </w:t>
      </w:r>
      <w:r w:rsidR="00970F86">
        <w:rPr>
          <w:lang w:val="lt-LT"/>
        </w:rPr>
        <w:t>31</w:t>
      </w:r>
      <w:r w:rsidR="009D34BC" w:rsidRPr="004C7906">
        <w:rPr>
          <w:lang w:val="lt-LT"/>
        </w:rPr>
        <w:t xml:space="preserve"> vnt.</w:t>
      </w:r>
      <w:r w:rsidRPr="004C7906">
        <w:rPr>
          <w:lang w:val="lt-LT"/>
        </w:rPr>
        <w:t xml:space="preserve"> </w:t>
      </w:r>
      <w:r w:rsidR="009D34BC" w:rsidRPr="004C7906">
        <w:rPr>
          <w:lang w:val="lt-LT"/>
        </w:rPr>
        <w:t xml:space="preserve">ilgalaikio turto </w:t>
      </w:r>
      <w:r w:rsidRPr="004C7906">
        <w:rPr>
          <w:lang w:val="lt-LT"/>
        </w:rPr>
        <w:t>(</w:t>
      </w:r>
      <w:r w:rsidR="00970F86">
        <w:rPr>
          <w:lang w:val="lt-LT"/>
        </w:rPr>
        <w:t>keturis</w:t>
      </w:r>
      <w:r w:rsidR="00DC0DD4">
        <w:rPr>
          <w:lang w:val="lt-LT"/>
        </w:rPr>
        <w:t xml:space="preserve"> autobusus, </w:t>
      </w:r>
      <w:r w:rsidRPr="004C7906">
        <w:rPr>
          <w:lang w:val="lt-LT"/>
        </w:rPr>
        <w:t>elektrinių</w:t>
      </w:r>
      <w:r w:rsidR="008604BA">
        <w:rPr>
          <w:lang w:val="lt-LT"/>
        </w:rPr>
        <w:t xml:space="preserve"> įrankių, kompiuterinės technikos</w:t>
      </w:r>
      <w:r w:rsidRPr="004C7906">
        <w:rPr>
          <w:lang w:val="lt-LT"/>
        </w:rPr>
        <w:t xml:space="preserve">, </w:t>
      </w:r>
      <w:r w:rsidR="00970F86">
        <w:rPr>
          <w:lang w:val="lt-LT"/>
        </w:rPr>
        <w:t>kasos aparatus</w:t>
      </w:r>
      <w:r w:rsidRPr="004C7906">
        <w:rPr>
          <w:lang w:val="lt-LT"/>
        </w:rPr>
        <w:t xml:space="preserve">) </w:t>
      </w:r>
      <w:r w:rsidR="009D34BC" w:rsidRPr="004C7906">
        <w:rPr>
          <w:lang w:val="lt-LT"/>
        </w:rPr>
        <w:t xml:space="preserve">už </w:t>
      </w:r>
      <w:r w:rsidR="00D62F3D">
        <w:rPr>
          <w:lang w:val="lt-LT"/>
        </w:rPr>
        <w:t>206,9</w:t>
      </w:r>
      <w:r w:rsidR="009D34BC" w:rsidRPr="004C7906">
        <w:rPr>
          <w:lang w:val="lt-LT"/>
        </w:rPr>
        <w:t xml:space="preserve"> tūkst. </w:t>
      </w:r>
      <w:r w:rsidR="009D34BC" w:rsidRPr="00DC0DD4">
        <w:rPr>
          <w:lang w:val="lt-LT"/>
        </w:rPr>
        <w:t>Lt</w:t>
      </w:r>
      <w:r w:rsidR="00D62F3D">
        <w:rPr>
          <w:lang w:val="lt-LT"/>
        </w:rPr>
        <w:t>.</w:t>
      </w:r>
      <w:r w:rsidRPr="00DC0DD4">
        <w:rPr>
          <w:lang w:val="lt-LT"/>
        </w:rPr>
        <w:t xml:space="preserve"> </w:t>
      </w:r>
      <w:r w:rsidR="00367DE9" w:rsidRPr="00A62388">
        <w:rPr>
          <w:lang w:val="lt-LT"/>
        </w:rPr>
        <w:t xml:space="preserve">Bendrovės ilgalaikis </w:t>
      </w:r>
      <w:r w:rsidR="005D569F">
        <w:rPr>
          <w:lang w:val="lt-LT"/>
        </w:rPr>
        <w:t>materialus</w:t>
      </w:r>
      <w:r w:rsidR="00176739">
        <w:rPr>
          <w:lang w:val="lt-LT"/>
        </w:rPr>
        <w:t>is</w:t>
      </w:r>
      <w:r w:rsidR="005D569F">
        <w:rPr>
          <w:lang w:val="lt-LT"/>
        </w:rPr>
        <w:t xml:space="preserve"> </w:t>
      </w:r>
      <w:r w:rsidR="00367DE9" w:rsidRPr="00A62388">
        <w:rPr>
          <w:lang w:val="lt-LT"/>
        </w:rPr>
        <w:t>turtas per 201</w:t>
      </w:r>
      <w:r w:rsidR="00D62F3D">
        <w:rPr>
          <w:lang w:val="lt-LT"/>
        </w:rPr>
        <w:t>4</w:t>
      </w:r>
      <w:r w:rsidR="00367DE9" w:rsidRPr="00A62388">
        <w:rPr>
          <w:lang w:val="lt-LT"/>
        </w:rPr>
        <w:t xml:space="preserve"> metus nusidėvėjo </w:t>
      </w:r>
      <w:r w:rsidR="00D62F3D">
        <w:rPr>
          <w:lang w:val="lt-LT"/>
        </w:rPr>
        <w:t>273,9</w:t>
      </w:r>
      <w:r w:rsidR="00367DE9" w:rsidRPr="00A62388">
        <w:rPr>
          <w:lang w:val="lt-LT"/>
        </w:rPr>
        <w:t xml:space="preserve"> tūkst. Lt</w:t>
      </w:r>
      <w:r w:rsidR="000F1D34" w:rsidRPr="00A62388">
        <w:rPr>
          <w:lang w:val="lt-LT"/>
        </w:rPr>
        <w:t xml:space="preserve"> ir 201</w:t>
      </w:r>
      <w:r w:rsidR="00D62F3D">
        <w:rPr>
          <w:lang w:val="lt-LT"/>
        </w:rPr>
        <w:t>4</w:t>
      </w:r>
      <w:r w:rsidR="000F1D34" w:rsidRPr="00A62388">
        <w:rPr>
          <w:lang w:val="lt-LT"/>
        </w:rPr>
        <w:t xml:space="preserve"> metų pabaigoje buvo </w:t>
      </w:r>
      <w:r w:rsidR="00D62F3D">
        <w:rPr>
          <w:lang w:val="lt-LT"/>
        </w:rPr>
        <w:t>873,6</w:t>
      </w:r>
      <w:r w:rsidR="000F1D34" w:rsidRPr="00A62388">
        <w:rPr>
          <w:bCs/>
          <w:lang w:val="lt-LT"/>
        </w:rPr>
        <w:t xml:space="preserve"> tūkst. Lt</w:t>
      </w:r>
      <w:r w:rsidR="00367DE9" w:rsidRPr="00A62388">
        <w:rPr>
          <w:lang w:val="lt-LT"/>
        </w:rPr>
        <w:t xml:space="preserve">. </w:t>
      </w:r>
    </w:p>
    <w:p w:rsidR="00163C46" w:rsidRDefault="00163C46" w:rsidP="00163C46">
      <w:pPr>
        <w:pStyle w:val="NormalJustified"/>
        <w:ind w:firstLine="900"/>
      </w:pPr>
    </w:p>
    <w:p w:rsidR="00587F46" w:rsidRDefault="00866427" w:rsidP="00866427">
      <w:pPr>
        <w:pStyle w:val="NormalJustified"/>
        <w:ind w:firstLine="900"/>
        <w:rPr>
          <w:i/>
        </w:rPr>
      </w:pPr>
      <w:r w:rsidRPr="003B4571">
        <w:rPr>
          <w:i/>
        </w:rPr>
        <w:t>Bendrov</w:t>
      </w:r>
      <w:r w:rsidR="001F6C05">
        <w:rPr>
          <w:i/>
        </w:rPr>
        <w:t xml:space="preserve">ei kelti tikslai </w:t>
      </w:r>
      <w:r w:rsidRPr="003B4571">
        <w:rPr>
          <w:i/>
        </w:rPr>
        <w:t>201</w:t>
      </w:r>
      <w:r w:rsidR="00D62F3D">
        <w:rPr>
          <w:i/>
        </w:rPr>
        <w:t>4</w:t>
      </w:r>
      <w:r w:rsidRPr="003B4571">
        <w:rPr>
          <w:i/>
        </w:rPr>
        <w:t xml:space="preserve"> metams</w:t>
      </w:r>
      <w:r w:rsidR="003022AF">
        <w:rPr>
          <w:i/>
        </w:rPr>
        <w:t xml:space="preserve"> </w:t>
      </w:r>
      <w:r w:rsidR="001F6C05">
        <w:rPr>
          <w:i/>
        </w:rPr>
        <w:t>ir pasiekt</w:t>
      </w:r>
      <w:r w:rsidR="001B6F52">
        <w:rPr>
          <w:i/>
        </w:rPr>
        <w:t>i</w:t>
      </w:r>
      <w:r w:rsidR="001F6C05">
        <w:rPr>
          <w:i/>
        </w:rPr>
        <w:t xml:space="preserve"> rezultata</w:t>
      </w:r>
      <w:r w:rsidR="001B6F52">
        <w:rPr>
          <w:i/>
        </w:rPr>
        <w:t>i</w:t>
      </w:r>
      <w:r w:rsidR="003B4571" w:rsidRPr="003B4571">
        <w:rPr>
          <w:i/>
        </w:rPr>
        <w:t>.</w:t>
      </w:r>
    </w:p>
    <w:p w:rsidR="008A57E8" w:rsidRDefault="001F6C05" w:rsidP="00866427">
      <w:pPr>
        <w:pStyle w:val="NormalJustified"/>
        <w:ind w:firstLine="900"/>
      </w:pPr>
      <w:r>
        <w:t>Ūkinės - finansinės veiklos pelningumas:</w:t>
      </w:r>
    </w:p>
    <w:p w:rsidR="001F6C05" w:rsidRDefault="001F6C05" w:rsidP="00866427">
      <w:pPr>
        <w:pStyle w:val="NormalJustified"/>
        <w:ind w:firstLine="900"/>
      </w:pPr>
      <w:r>
        <w:t>Tikslas</w:t>
      </w:r>
      <w:r w:rsidR="00176739">
        <w:t xml:space="preserve"> - </w:t>
      </w:r>
      <w:r>
        <w:t>metinis grynasis pelnas ne mažiau kaip 10 tūkst. Lt</w:t>
      </w:r>
      <w:r w:rsidR="00176739">
        <w:t>.</w:t>
      </w:r>
    </w:p>
    <w:p w:rsidR="001F6C05" w:rsidRDefault="001F6C05" w:rsidP="00866427">
      <w:pPr>
        <w:pStyle w:val="NormalJustified"/>
        <w:ind w:firstLine="900"/>
      </w:pPr>
      <w:r>
        <w:t>Rezultatas</w:t>
      </w:r>
      <w:r w:rsidR="00176739">
        <w:t xml:space="preserve"> -</w:t>
      </w:r>
      <w:r>
        <w:t xml:space="preserve"> metinis </w:t>
      </w:r>
      <w:r w:rsidR="00D62F3D">
        <w:t>nuostolis 32,1</w:t>
      </w:r>
      <w:r>
        <w:t xml:space="preserve"> tūkst. Lt</w:t>
      </w:r>
      <w:r w:rsidR="00B30B69">
        <w:t xml:space="preserve"> (atsiradęs pakeitus sąnaudų paskirstymą metų pabaigoje)</w:t>
      </w:r>
      <w:r>
        <w:t>.</w:t>
      </w:r>
    </w:p>
    <w:p w:rsidR="001F6C05" w:rsidRDefault="001F6C05" w:rsidP="00866427">
      <w:pPr>
        <w:pStyle w:val="NormalJustified"/>
        <w:ind w:firstLine="900"/>
      </w:pPr>
    </w:p>
    <w:p w:rsidR="001F6C05" w:rsidRDefault="001F6C05" w:rsidP="00866427">
      <w:pPr>
        <w:pStyle w:val="NormalJustified"/>
        <w:ind w:firstLine="900"/>
      </w:pPr>
      <w:r>
        <w:t>Gamybos arba suteiktų paslaugų apimties didėjimas:</w:t>
      </w:r>
    </w:p>
    <w:p w:rsidR="00D62F3D" w:rsidRDefault="00D62F3D" w:rsidP="00D62F3D">
      <w:pPr>
        <w:pStyle w:val="NormalJustified"/>
        <w:ind w:firstLine="900"/>
      </w:pPr>
      <w:r>
        <w:t>Tikslas - pajamų iš užsakomųjų reisų didėjimas ne mažiau kaip 10 proc. (lyginant su paskutinių 3 metų pajamų iš užsakomųjų reisų vidurkiu 2011-2013 m., vidurkis - 118,6 tūkst. Lt).</w:t>
      </w:r>
    </w:p>
    <w:p w:rsidR="000A7F89" w:rsidRDefault="000A7F89" w:rsidP="00866427">
      <w:pPr>
        <w:pStyle w:val="NormalJustified"/>
        <w:ind w:firstLine="900"/>
      </w:pPr>
      <w:r>
        <w:t>Rezultatas</w:t>
      </w:r>
      <w:r w:rsidR="00176739">
        <w:t xml:space="preserve"> -</w:t>
      </w:r>
      <w:r>
        <w:t xml:space="preserve"> pajamos iš užsakomųjų reisų</w:t>
      </w:r>
      <w:r w:rsidR="001B6F52">
        <w:t xml:space="preserve"> padidėjo 25 proc., </w:t>
      </w:r>
      <w:r>
        <w:t>201</w:t>
      </w:r>
      <w:r w:rsidR="00D62F3D">
        <w:t>4</w:t>
      </w:r>
      <w:r>
        <w:t xml:space="preserve"> m. 1</w:t>
      </w:r>
      <w:r w:rsidR="00D62F3D">
        <w:t>49</w:t>
      </w:r>
      <w:r>
        <w:t>,</w:t>
      </w:r>
      <w:r w:rsidR="00D62F3D">
        <w:t>1</w:t>
      </w:r>
      <w:r>
        <w:t xml:space="preserve"> tūkst. Lt.</w:t>
      </w:r>
    </w:p>
    <w:p w:rsidR="000A7F89" w:rsidRDefault="000A7F89" w:rsidP="00866427">
      <w:pPr>
        <w:pStyle w:val="NormalJustified"/>
        <w:ind w:firstLine="900"/>
      </w:pPr>
    </w:p>
    <w:p w:rsidR="000A7F89" w:rsidRDefault="000A7F89" w:rsidP="00866427">
      <w:pPr>
        <w:pStyle w:val="NormalJustified"/>
        <w:ind w:firstLine="900"/>
      </w:pPr>
      <w:r>
        <w:t>Investicijų</w:t>
      </w:r>
      <w:r w:rsidR="00176739">
        <w:t>,</w:t>
      </w:r>
      <w:r>
        <w:t xml:space="preserve"> mažinančių gamybos sąnaudas, gerinančių produkcijos ar paslaugų kokybę, darbuotojų darbo sąlygas (ypač dėmesys kreipiamas į lėšų investicijoms gavimą iš įvairių ES, šalies paramos fondų ir efektyvų jų panaudojimą) panaudojimas:</w:t>
      </w:r>
    </w:p>
    <w:p w:rsidR="000A7F89" w:rsidRDefault="000A7F89" w:rsidP="00866427">
      <w:pPr>
        <w:pStyle w:val="NormalJustified"/>
        <w:ind w:firstLine="900"/>
      </w:pPr>
      <w:r>
        <w:t>Tikslas</w:t>
      </w:r>
      <w:r w:rsidR="00176739">
        <w:t xml:space="preserve"> -</w:t>
      </w:r>
      <w:r>
        <w:t xml:space="preserve"> investuoti ne mažiau kaip 250 tūkst. Lt į darbuotojų darbo sąlygų gerinimą, bendrovės gamybinės – ūkinės bazės gerinimą, transporto priemonių atnaujinimą</w:t>
      </w:r>
      <w:r w:rsidR="00176739">
        <w:t>.</w:t>
      </w:r>
    </w:p>
    <w:p w:rsidR="000A7F89" w:rsidRDefault="000A7F89" w:rsidP="00866427">
      <w:pPr>
        <w:pStyle w:val="NormalJustified"/>
        <w:ind w:firstLine="900"/>
      </w:pPr>
      <w:r>
        <w:t xml:space="preserve">Rezultatas: </w:t>
      </w:r>
      <w:r>
        <w:tab/>
      </w:r>
      <w:r w:rsidR="00EC54CD">
        <w:t>Į</w:t>
      </w:r>
      <w:r>
        <w:t xml:space="preserve"> transporto park</w:t>
      </w:r>
      <w:r w:rsidR="00EC54CD">
        <w:t>o atnaujinimą investuota</w:t>
      </w:r>
      <w:r>
        <w:t xml:space="preserve"> </w:t>
      </w:r>
      <w:r w:rsidR="00D62F3D">
        <w:t>164,5</w:t>
      </w:r>
      <w:r>
        <w:t xml:space="preserve"> tūkst. Lt;</w:t>
      </w:r>
    </w:p>
    <w:p w:rsidR="00EC54CD" w:rsidRDefault="000A7F89" w:rsidP="00EC54CD">
      <w:pPr>
        <w:pStyle w:val="NormalJustified"/>
        <w:ind w:firstLine="900"/>
      </w:pPr>
      <w:r>
        <w:tab/>
      </w:r>
      <w:r>
        <w:tab/>
      </w:r>
      <w:r w:rsidR="00EC54CD">
        <w:t xml:space="preserve">Į </w:t>
      </w:r>
      <w:r w:rsidR="00A1739A">
        <w:t>kasos aparatų</w:t>
      </w:r>
      <w:r w:rsidR="0092496A">
        <w:t xml:space="preserve"> atnaujinimą investuota</w:t>
      </w:r>
      <w:r w:rsidR="00A1739A">
        <w:t xml:space="preserve"> 32,4</w:t>
      </w:r>
      <w:r w:rsidR="00EC54CD">
        <w:t xml:space="preserve"> tūkst. Lt;</w:t>
      </w:r>
    </w:p>
    <w:p w:rsidR="00EC54CD" w:rsidRDefault="00EC54CD" w:rsidP="00EC54CD">
      <w:pPr>
        <w:pStyle w:val="NormalJustified"/>
        <w:ind w:firstLine="900"/>
      </w:pPr>
      <w:r>
        <w:tab/>
      </w:r>
      <w:r>
        <w:tab/>
        <w:t xml:space="preserve">Į gamybinės bazės pastatus investuota </w:t>
      </w:r>
      <w:r w:rsidR="001B6F52">
        <w:t>35</w:t>
      </w:r>
      <w:r>
        <w:t xml:space="preserve"> tūkst. Lt;</w:t>
      </w:r>
    </w:p>
    <w:p w:rsidR="00EC54CD" w:rsidRDefault="00EC54CD" w:rsidP="00EC54CD">
      <w:pPr>
        <w:pStyle w:val="NormalJustified"/>
        <w:ind w:firstLine="900"/>
      </w:pPr>
      <w:r>
        <w:lastRenderedPageBreak/>
        <w:tab/>
      </w:r>
      <w:r>
        <w:tab/>
        <w:t xml:space="preserve">Į </w:t>
      </w:r>
      <w:r w:rsidR="00A1739A">
        <w:t>kompiuterinės technikos atnaujinimą</w:t>
      </w:r>
      <w:r>
        <w:t xml:space="preserve"> investuota </w:t>
      </w:r>
      <w:r w:rsidR="001B6F52">
        <w:t>5,5</w:t>
      </w:r>
      <w:r>
        <w:t xml:space="preserve"> tūkst. Lt;</w:t>
      </w:r>
    </w:p>
    <w:p w:rsidR="00A1739A" w:rsidRDefault="00A1739A" w:rsidP="00EC54CD">
      <w:pPr>
        <w:pStyle w:val="NormalJustified"/>
        <w:ind w:firstLine="900"/>
      </w:pPr>
      <w:r>
        <w:tab/>
      </w:r>
      <w:r>
        <w:tab/>
        <w:t>Į remontinės įrangos</w:t>
      </w:r>
      <w:r w:rsidR="001B6F52">
        <w:t>, inventoriaus</w:t>
      </w:r>
      <w:r>
        <w:t xml:space="preserve"> atnaujinimą investuota </w:t>
      </w:r>
      <w:r w:rsidR="001B6F52">
        <w:t>22</w:t>
      </w:r>
      <w:r>
        <w:t xml:space="preserve"> tūkst. Lt;</w:t>
      </w:r>
    </w:p>
    <w:p w:rsidR="00EC54CD" w:rsidRPr="000A7F89" w:rsidRDefault="00EC54CD" w:rsidP="00EC54CD">
      <w:pPr>
        <w:pStyle w:val="NormalJustified"/>
        <w:ind w:firstLine="900"/>
      </w:pPr>
      <w:r>
        <w:tab/>
      </w:r>
      <w:r>
        <w:tab/>
      </w:r>
      <w:r w:rsidR="00176739">
        <w:t>Iš v</w:t>
      </w:r>
      <w:r>
        <w:t>iso: 2</w:t>
      </w:r>
      <w:r w:rsidR="001B6F52">
        <w:t>6</w:t>
      </w:r>
      <w:r>
        <w:t>5,</w:t>
      </w:r>
      <w:r w:rsidR="001B6F52">
        <w:t>1</w:t>
      </w:r>
      <w:r>
        <w:t xml:space="preserve"> tūkst. Lt</w:t>
      </w:r>
    </w:p>
    <w:p w:rsidR="00990556" w:rsidRDefault="00EC54CD" w:rsidP="008D2471">
      <w:pPr>
        <w:pStyle w:val="NormalJustified"/>
        <w:ind w:firstLine="900"/>
      </w:pPr>
      <w:r>
        <w:t>Konkrečių priemonių susijusių su bendrovės veiklai keliamais tikslais bei uždaviniais</w:t>
      </w:r>
      <w:r w:rsidR="00176739">
        <w:t>,</w:t>
      </w:r>
      <w:r>
        <w:t xml:space="preserve"> vykdymas:</w:t>
      </w:r>
    </w:p>
    <w:p w:rsidR="00D62F3D" w:rsidRDefault="00D62F3D" w:rsidP="00D62F3D">
      <w:pPr>
        <w:pStyle w:val="NormalJustified"/>
        <w:ind w:firstLine="900"/>
      </w:pPr>
      <w:r>
        <w:t xml:space="preserve">Tikslas </w:t>
      </w:r>
      <w:r w:rsidR="00182178">
        <w:t>–</w:t>
      </w:r>
      <w:r>
        <w:t xml:space="preserve"> </w:t>
      </w:r>
      <w:r w:rsidR="00182178">
        <w:t xml:space="preserve">per antrą </w:t>
      </w:r>
      <w:smartTag w:uri="urn:schemas-microsoft-com:office:smarttags" w:element="metricconverter">
        <w:smartTagPr>
          <w:attr w:name="ProductID" w:val="2014 m"/>
        </w:smartTagPr>
        <w:r w:rsidR="00182178">
          <w:t>2014 m</w:t>
        </w:r>
      </w:smartTag>
      <w:r w:rsidR="00182178">
        <w:t>. pusmetį sumažinti tiesiogines sąnaudas sekmadieniniuose maršrutuose (Kretinga-Kalniškiai, Kretinga-Juodupėnai, Kretinga-Grūšlaukė-Peldžiai, Kretinga-Laukžemė-N. Įpiltis) ne mažiau kaip 10 proc.</w:t>
      </w:r>
      <w:r>
        <w:t>.</w:t>
      </w:r>
    </w:p>
    <w:p w:rsidR="00EC54CD" w:rsidRDefault="00EC54CD" w:rsidP="008D2471">
      <w:pPr>
        <w:pStyle w:val="NormalJustified"/>
        <w:ind w:firstLine="900"/>
      </w:pPr>
      <w:r>
        <w:t>Rezultatas</w:t>
      </w:r>
      <w:r w:rsidR="00176739">
        <w:t xml:space="preserve"> </w:t>
      </w:r>
      <w:r w:rsidR="00D62F3D">
        <w:t>–</w:t>
      </w:r>
      <w:r>
        <w:t xml:space="preserve"> </w:t>
      </w:r>
      <w:r w:rsidR="00182178">
        <w:t>tiesioginės sąnaudos sekmadieniniuose maršrutuose (Kretinga-Kalniškiai, Kretinga-Juodupėnai, Kretinga-Grūšlaukė-Peldžiai, Kretinga-Laukžemė-N. Įpiltis) sumažintos</w:t>
      </w:r>
      <w:r w:rsidR="001B6F52">
        <w:t xml:space="preserve"> 10,54 proc. iki 1369,06 Lt vienam sekmadieniui (buvo 1530,32 Lt vienam sekmadieniui)</w:t>
      </w:r>
      <w:r>
        <w:t>.</w:t>
      </w:r>
    </w:p>
    <w:p w:rsidR="003022AF" w:rsidRDefault="003022AF" w:rsidP="008D2471">
      <w:pPr>
        <w:pStyle w:val="NormalJustified"/>
        <w:ind w:firstLine="900"/>
      </w:pPr>
    </w:p>
    <w:p w:rsidR="003022AF" w:rsidRDefault="003022AF" w:rsidP="003022AF">
      <w:pPr>
        <w:pStyle w:val="NormalJustified"/>
        <w:ind w:firstLine="900"/>
        <w:rPr>
          <w:i/>
        </w:rPr>
      </w:pPr>
      <w:r w:rsidRPr="003B4571">
        <w:rPr>
          <w:i/>
        </w:rPr>
        <w:t>Bendrov</w:t>
      </w:r>
      <w:r>
        <w:rPr>
          <w:i/>
        </w:rPr>
        <w:t>ei keliami tikslai</w:t>
      </w:r>
      <w:r w:rsidR="000F27FF">
        <w:rPr>
          <w:i/>
        </w:rPr>
        <w:t xml:space="preserve"> ir siektini rezultatai</w:t>
      </w:r>
      <w:r>
        <w:rPr>
          <w:i/>
        </w:rPr>
        <w:t xml:space="preserve"> </w:t>
      </w:r>
      <w:r w:rsidRPr="003B4571">
        <w:rPr>
          <w:i/>
        </w:rPr>
        <w:t>201</w:t>
      </w:r>
      <w:r w:rsidR="00182178">
        <w:rPr>
          <w:i/>
        </w:rPr>
        <w:t>5</w:t>
      </w:r>
      <w:r w:rsidRPr="003B4571">
        <w:rPr>
          <w:i/>
        </w:rPr>
        <w:t xml:space="preserve"> metams.</w:t>
      </w:r>
    </w:p>
    <w:p w:rsidR="003022AF" w:rsidRDefault="003022AF" w:rsidP="003022AF">
      <w:pPr>
        <w:pStyle w:val="NormalJustified"/>
        <w:ind w:firstLine="900"/>
      </w:pPr>
      <w:r>
        <w:t>Ūkinės - finansinės veiklos pelningumas:</w:t>
      </w:r>
    </w:p>
    <w:p w:rsidR="003022AF" w:rsidRDefault="003022AF" w:rsidP="003022AF">
      <w:pPr>
        <w:pStyle w:val="NormalJustified"/>
        <w:ind w:firstLine="900"/>
      </w:pPr>
      <w:r>
        <w:t>Tikslas</w:t>
      </w:r>
      <w:r w:rsidR="00176739">
        <w:t xml:space="preserve"> </w:t>
      </w:r>
      <w:r w:rsidR="00744457">
        <w:t>–</w:t>
      </w:r>
      <w:r>
        <w:t xml:space="preserve"> </w:t>
      </w:r>
      <w:r w:rsidR="00744457">
        <w:t xml:space="preserve">teigiamas </w:t>
      </w:r>
      <w:r>
        <w:t xml:space="preserve">metinis </w:t>
      </w:r>
      <w:r w:rsidR="00744457">
        <w:t>finansinis rezultatas</w:t>
      </w:r>
      <w:r>
        <w:t>.</w:t>
      </w:r>
    </w:p>
    <w:p w:rsidR="003022AF" w:rsidRDefault="003022AF" w:rsidP="003022AF">
      <w:pPr>
        <w:pStyle w:val="NormalJustified"/>
        <w:ind w:firstLine="900"/>
      </w:pPr>
    </w:p>
    <w:p w:rsidR="003022AF" w:rsidRDefault="003022AF" w:rsidP="003022AF">
      <w:pPr>
        <w:pStyle w:val="NormalJustified"/>
        <w:ind w:firstLine="900"/>
      </w:pPr>
      <w:r>
        <w:t>Investicijų</w:t>
      </w:r>
      <w:r w:rsidR="00176739">
        <w:t>,</w:t>
      </w:r>
      <w:r>
        <w:t xml:space="preserve"> mažinančių gamybos sąnaudas, gerinančių produkcijos ar paslaugų kokybę, darbuotojų darbo sąlygas (ypač dėmesys kreipiamas į lėšų investicijoms gavimą iš įvairių ES, šalies paramos fondų ir efektyvų jų panaudojimą)</w:t>
      </w:r>
      <w:r w:rsidR="00176739">
        <w:t>,</w:t>
      </w:r>
      <w:r>
        <w:t xml:space="preserve"> panaudojimas:</w:t>
      </w:r>
    </w:p>
    <w:p w:rsidR="003022AF" w:rsidRDefault="003022AF" w:rsidP="003022AF">
      <w:pPr>
        <w:pStyle w:val="NormalJustified"/>
        <w:ind w:firstLine="900"/>
      </w:pPr>
      <w:r>
        <w:t>Tikslas</w:t>
      </w:r>
      <w:r w:rsidR="00176739">
        <w:t xml:space="preserve"> -</w:t>
      </w:r>
      <w:r>
        <w:t xml:space="preserve"> investuoti ne mažiau kaip </w:t>
      </w:r>
      <w:r w:rsidR="0018212A">
        <w:t>75</w:t>
      </w:r>
      <w:r>
        <w:t xml:space="preserve"> tūkst. </w:t>
      </w:r>
      <w:r w:rsidR="00182178">
        <w:t>Eur</w:t>
      </w:r>
      <w:r>
        <w:t xml:space="preserve"> į darbuotojų darbo sąlygų gerinimą, bendrovės gamybinės – ūkinės bazės gerinimą, transporto priemonių atnaujinimą.</w:t>
      </w:r>
    </w:p>
    <w:p w:rsidR="003022AF" w:rsidRDefault="003022AF" w:rsidP="008D2471">
      <w:pPr>
        <w:pStyle w:val="NormalJustified"/>
        <w:ind w:firstLine="900"/>
      </w:pPr>
    </w:p>
    <w:p w:rsidR="003022AF" w:rsidRDefault="003022AF" w:rsidP="003022AF">
      <w:pPr>
        <w:pStyle w:val="NormalJustified"/>
        <w:ind w:firstLine="900"/>
      </w:pPr>
      <w:r>
        <w:t>Konkrečių priemonių</w:t>
      </w:r>
      <w:r w:rsidR="00176739">
        <w:t>,</w:t>
      </w:r>
      <w:r>
        <w:t xml:space="preserve"> susijusių su bendrovės veiklai keliamais tikslais bei uždaviniais</w:t>
      </w:r>
      <w:r w:rsidR="00176739">
        <w:t>,</w:t>
      </w:r>
      <w:r>
        <w:t xml:space="preserve"> vykdymas:</w:t>
      </w:r>
    </w:p>
    <w:p w:rsidR="003022AF" w:rsidRDefault="003022AF" w:rsidP="003022AF">
      <w:pPr>
        <w:pStyle w:val="NormalJustified"/>
        <w:ind w:firstLine="900"/>
      </w:pPr>
      <w:r>
        <w:t>Tikslas</w:t>
      </w:r>
      <w:r w:rsidR="00176739">
        <w:t xml:space="preserve"> </w:t>
      </w:r>
      <w:r w:rsidR="00B30B69">
        <w:t>–</w:t>
      </w:r>
      <w:r>
        <w:t xml:space="preserve"> </w:t>
      </w:r>
      <w:r w:rsidR="00B30B69">
        <w:t>bendrovės administracinio pastato rekonstrukcijos techninio projekto parengimas.</w:t>
      </w:r>
    </w:p>
    <w:p w:rsidR="001E113D" w:rsidRDefault="00744457" w:rsidP="00057B54">
      <w:pPr>
        <w:pStyle w:val="NormalJustified"/>
        <w:ind w:firstLine="900"/>
      </w:pPr>
      <w:r>
        <w:t>Tikslas – dotacijų iš savivaldybės biudžeto mažėjimas 2 proc. (atsižvelgiant į darbo apimčių, kuro kainų ir MMA pokyčius).</w:t>
      </w:r>
    </w:p>
    <w:p w:rsidR="0080080A" w:rsidRDefault="0080080A" w:rsidP="0080080A">
      <w:pPr>
        <w:spacing w:line="360" w:lineRule="auto"/>
        <w:rPr>
          <w:lang w:val="lt-LT"/>
        </w:rPr>
      </w:pPr>
    </w:p>
    <w:p w:rsidR="00057B54" w:rsidRDefault="00057B54" w:rsidP="0080080A">
      <w:pPr>
        <w:spacing w:line="360" w:lineRule="auto"/>
        <w:rPr>
          <w:lang w:val="lt-LT"/>
        </w:rPr>
      </w:pPr>
    </w:p>
    <w:p w:rsidR="00057B54" w:rsidRPr="00880BB6" w:rsidRDefault="00057B54" w:rsidP="00057B54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sectPr w:rsidR="00057B54" w:rsidRPr="00880BB6" w:rsidSect="00B63F49">
      <w:headerReference w:type="even" r:id="rId17"/>
      <w:headerReference w:type="default" r:id="rId18"/>
      <w:footerReference w:type="default" r:id="rId19"/>
      <w:pgSz w:w="11906" w:h="16838" w:code="9"/>
      <w:pgMar w:top="89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21" w:rsidRDefault="001C3521">
      <w:r>
        <w:separator/>
      </w:r>
    </w:p>
  </w:endnote>
  <w:endnote w:type="continuationSeparator" w:id="0">
    <w:p w:rsidR="001C3521" w:rsidRDefault="001C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F52" w:rsidRPr="00800E36" w:rsidRDefault="001B6F52" w:rsidP="00800E36">
    <w:pPr>
      <w:pStyle w:val="Porat"/>
      <w:tabs>
        <w:tab w:val="left" w:pos="3240"/>
        <w:tab w:val="left" w:pos="6660"/>
      </w:tabs>
      <w:rPr>
        <w:sz w:val="20"/>
        <w:szCs w:val="20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21" w:rsidRDefault="001C3521">
      <w:r>
        <w:separator/>
      </w:r>
    </w:p>
  </w:footnote>
  <w:footnote w:type="continuationSeparator" w:id="0">
    <w:p w:rsidR="001C3521" w:rsidRDefault="001C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F52" w:rsidRDefault="001B6F52" w:rsidP="00FA32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6F52" w:rsidRDefault="001B6F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F52" w:rsidRDefault="001B6F52" w:rsidP="00FA32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1042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1B6F52" w:rsidRDefault="00EA1042" w:rsidP="00800E36">
    <w:pPr>
      <w:pStyle w:val="Antrats"/>
      <w:jc w:val="center"/>
      <w:rPr>
        <w:sz w:val="28"/>
        <w:szCs w:val="28"/>
        <w:lang w:val="lt-LT"/>
      </w:rPr>
    </w:pPr>
    <w:r>
      <w:rPr>
        <w:noProof/>
        <w:lang w:val="en-US" w:eastAsia="en-US"/>
      </w:rPr>
      <w:drawing>
        <wp:inline distT="0" distB="0" distL="0" distR="0">
          <wp:extent cx="1866900" cy="542925"/>
          <wp:effectExtent l="0" t="0" r="0" b="9525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ACC"/>
    <w:multiLevelType w:val="hybridMultilevel"/>
    <w:tmpl w:val="335E2A1C"/>
    <w:lvl w:ilvl="0" w:tplc="E21AA1C2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AE0A87"/>
    <w:multiLevelType w:val="hybridMultilevel"/>
    <w:tmpl w:val="017C51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27125ED"/>
    <w:multiLevelType w:val="hybridMultilevel"/>
    <w:tmpl w:val="6E1A34B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66E25A9"/>
    <w:multiLevelType w:val="hybridMultilevel"/>
    <w:tmpl w:val="A5D4281C"/>
    <w:lvl w:ilvl="0" w:tplc="ECA4E58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E34274"/>
    <w:multiLevelType w:val="multilevel"/>
    <w:tmpl w:val="017C51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831365B"/>
    <w:multiLevelType w:val="multilevel"/>
    <w:tmpl w:val="993ACC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B913CCD"/>
    <w:multiLevelType w:val="hybridMultilevel"/>
    <w:tmpl w:val="8048A7BC"/>
    <w:lvl w:ilvl="0" w:tplc="E9ACFB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FAA7A87"/>
    <w:multiLevelType w:val="hybridMultilevel"/>
    <w:tmpl w:val="B1189B46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2B7C6559"/>
    <w:multiLevelType w:val="hybridMultilevel"/>
    <w:tmpl w:val="1C04249E"/>
    <w:lvl w:ilvl="0" w:tplc="AA6468C0">
      <w:start w:val="1"/>
      <w:numFmt w:val="lowerLetter"/>
      <w:lvlText w:val="%1)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CE75A78"/>
    <w:multiLevelType w:val="hybridMultilevel"/>
    <w:tmpl w:val="FF8C56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5332DE2"/>
    <w:multiLevelType w:val="hybridMultilevel"/>
    <w:tmpl w:val="E71A5E1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ACE244D"/>
    <w:multiLevelType w:val="hybridMultilevel"/>
    <w:tmpl w:val="A9EC4FEA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479E31B4"/>
    <w:multiLevelType w:val="hybridMultilevel"/>
    <w:tmpl w:val="B74A0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D00E3C"/>
    <w:multiLevelType w:val="hybridMultilevel"/>
    <w:tmpl w:val="F39ADB84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59E3BBF"/>
    <w:multiLevelType w:val="hybridMultilevel"/>
    <w:tmpl w:val="C06C95BA"/>
    <w:lvl w:ilvl="0" w:tplc="BE9286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1E5E1A"/>
    <w:multiLevelType w:val="multilevel"/>
    <w:tmpl w:val="89D2E384"/>
    <w:lvl w:ilvl="0">
      <w:start w:val="1"/>
      <w:numFmt w:val="lowerLetter"/>
      <w:lvlText w:val="%1)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C007EA4"/>
    <w:multiLevelType w:val="hybridMultilevel"/>
    <w:tmpl w:val="E40E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BC0CE9"/>
    <w:multiLevelType w:val="hybridMultilevel"/>
    <w:tmpl w:val="003EADDC"/>
    <w:lvl w:ilvl="0" w:tplc="041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6DEC3A76"/>
    <w:multiLevelType w:val="hybridMultilevel"/>
    <w:tmpl w:val="14B48EA4"/>
    <w:lvl w:ilvl="0" w:tplc="F78E90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13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36"/>
    <w:rsid w:val="000012C5"/>
    <w:rsid w:val="000052B5"/>
    <w:rsid w:val="000138E3"/>
    <w:rsid w:val="000151A9"/>
    <w:rsid w:val="00025D19"/>
    <w:rsid w:val="00031E6A"/>
    <w:rsid w:val="000367E1"/>
    <w:rsid w:val="00037643"/>
    <w:rsid w:val="00050ACA"/>
    <w:rsid w:val="00057B54"/>
    <w:rsid w:val="0008459F"/>
    <w:rsid w:val="000873E2"/>
    <w:rsid w:val="00090793"/>
    <w:rsid w:val="00091B0C"/>
    <w:rsid w:val="000A7F89"/>
    <w:rsid w:val="000C523D"/>
    <w:rsid w:val="000C6374"/>
    <w:rsid w:val="000E3E48"/>
    <w:rsid w:val="000E6B38"/>
    <w:rsid w:val="000F1D34"/>
    <w:rsid w:val="000F27FF"/>
    <w:rsid w:val="000F44F2"/>
    <w:rsid w:val="00103875"/>
    <w:rsid w:val="001060CA"/>
    <w:rsid w:val="00114495"/>
    <w:rsid w:val="00133A34"/>
    <w:rsid w:val="00141CF0"/>
    <w:rsid w:val="00142C7B"/>
    <w:rsid w:val="00145395"/>
    <w:rsid w:val="0016004C"/>
    <w:rsid w:val="00160468"/>
    <w:rsid w:val="00162C56"/>
    <w:rsid w:val="00163C46"/>
    <w:rsid w:val="0017548F"/>
    <w:rsid w:val="00176739"/>
    <w:rsid w:val="001778FD"/>
    <w:rsid w:val="00177AE5"/>
    <w:rsid w:val="00181B4B"/>
    <w:rsid w:val="0018212A"/>
    <w:rsid w:val="00182178"/>
    <w:rsid w:val="00194B7D"/>
    <w:rsid w:val="001A7F5B"/>
    <w:rsid w:val="001B2405"/>
    <w:rsid w:val="001B6C9A"/>
    <w:rsid w:val="001B6F52"/>
    <w:rsid w:val="001C3521"/>
    <w:rsid w:val="001C6EF8"/>
    <w:rsid w:val="001E113D"/>
    <w:rsid w:val="001F22D8"/>
    <w:rsid w:val="001F3071"/>
    <w:rsid w:val="001F6C05"/>
    <w:rsid w:val="0020257E"/>
    <w:rsid w:val="002067DA"/>
    <w:rsid w:val="00214E61"/>
    <w:rsid w:val="00222D9D"/>
    <w:rsid w:val="00224359"/>
    <w:rsid w:val="00235F00"/>
    <w:rsid w:val="00252553"/>
    <w:rsid w:val="002529F2"/>
    <w:rsid w:val="002737E9"/>
    <w:rsid w:val="002907EA"/>
    <w:rsid w:val="002A4903"/>
    <w:rsid w:val="002A5DF1"/>
    <w:rsid w:val="002C08A5"/>
    <w:rsid w:val="002C2C75"/>
    <w:rsid w:val="002C703D"/>
    <w:rsid w:val="002C70CC"/>
    <w:rsid w:val="002C735A"/>
    <w:rsid w:val="002E78A0"/>
    <w:rsid w:val="002F1CAD"/>
    <w:rsid w:val="003022AF"/>
    <w:rsid w:val="00313BF7"/>
    <w:rsid w:val="00322F29"/>
    <w:rsid w:val="00324C0F"/>
    <w:rsid w:val="00331ADF"/>
    <w:rsid w:val="0033679C"/>
    <w:rsid w:val="00346B1C"/>
    <w:rsid w:val="00350C17"/>
    <w:rsid w:val="003560CC"/>
    <w:rsid w:val="00360381"/>
    <w:rsid w:val="003659D5"/>
    <w:rsid w:val="00367DE9"/>
    <w:rsid w:val="00372D46"/>
    <w:rsid w:val="00382E66"/>
    <w:rsid w:val="003857EC"/>
    <w:rsid w:val="003879DC"/>
    <w:rsid w:val="003A0F8B"/>
    <w:rsid w:val="003B4571"/>
    <w:rsid w:val="003B78E3"/>
    <w:rsid w:val="003F273D"/>
    <w:rsid w:val="003F459B"/>
    <w:rsid w:val="0041186E"/>
    <w:rsid w:val="00413D9A"/>
    <w:rsid w:val="004339AD"/>
    <w:rsid w:val="004356B3"/>
    <w:rsid w:val="00447E1E"/>
    <w:rsid w:val="0045266A"/>
    <w:rsid w:val="0045516C"/>
    <w:rsid w:val="00461993"/>
    <w:rsid w:val="00480979"/>
    <w:rsid w:val="00484A2F"/>
    <w:rsid w:val="00485ABD"/>
    <w:rsid w:val="00487462"/>
    <w:rsid w:val="00492C0C"/>
    <w:rsid w:val="004A53E7"/>
    <w:rsid w:val="004A6C62"/>
    <w:rsid w:val="004B4211"/>
    <w:rsid w:val="004C7906"/>
    <w:rsid w:val="004D1ED4"/>
    <w:rsid w:val="004D52FC"/>
    <w:rsid w:val="004E02BE"/>
    <w:rsid w:val="004F59D4"/>
    <w:rsid w:val="004F607E"/>
    <w:rsid w:val="004F7E71"/>
    <w:rsid w:val="005176E8"/>
    <w:rsid w:val="0053682C"/>
    <w:rsid w:val="00547473"/>
    <w:rsid w:val="00554C68"/>
    <w:rsid w:val="005554BE"/>
    <w:rsid w:val="0055664C"/>
    <w:rsid w:val="00563709"/>
    <w:rsid w:val="00577ECF"/>
    <w:rsid w:val="00582F59"/>
    <w:rsid w:val="00587A8E"/>
    <w:rsid w:val="00587F46"/>
    <w:rsid w:val="005911BE"/>
    <w:rsid w:val="005C7290"/>
    <w:rsid w:val="005D247B"/>
    <w:rsid w:val="005D3850"/>
    <w:rsid w:val="005D569F"/>
    <w:rsid w:val="005D69E4"/>
    <w:rsid w:val="005F7C64"/>
    <w:rsid w:val="005F7F77"/>
    <w:rsid w:val="00604552"/>
    <w:rsid w:val="006118F2"/>
    <w:rsid w:val="0062024C"/>
    <w:rsid w:val="00620730"/>
    <w:rsid w:val="00626B2D"/>
    <w:rsid w:val="006308F4"/>
    <w:rsid w:val="006460F3"/>
    <w:rsid w:val="006462E6"/>
    <w:rsid w:val="00646D12"/>
    <w:rsid w:val="006477AB"/>
    <w:rsid w:val="006525F6"/>
    <w:rsid w:val="0065497F"/>
    <w:rsid w:val="0067545D"/>
    <w:rsid w:val="006919F9"/>
    <w:rsid w:val="006948C3"/>
    <w:rsid w:val="006A0809"/>
    <w:rsid w:val="006A0E1E"/>
    <w:rsid w:val="006A2D3F"/>
    <w:rsid w:val="006A54A1"/>
    <w:rsid w:val="006B4178"/>
    <w:rsid w:val="006B59D7"/>
    <w:rsid w:val="006C18A0"/>
    <w:rsid w:val="006C1B17"/>
    <w:rsid w:val="006D4C42"/>
    <w:rsid w:val="006D7267"/>
    <w:rsid w:val="006E0B81"/>
    <w:rsid w:val="006E744A"/>
    <w:rsid w:val="0070222E"/>
    <w:rsid w:val="007131FC"/>
    <w:rsid w:val="00716E44"/>
    <w:rsid w:val="00726673"/>
    <w:rsid w:val="00732391"/>
    <w:rsid w:val="00744457"/>
    <w:rsid w:val="00751CCF"/>
    <w:rsid w:val="00753B5A"/>
    <w:rsid w:val="007626E5"/>
    <w:rsid w:val="00766C5C"/>
    <w:rsid w:val="0077358E"/>
    <w:rsid w:val="00776C4B"/>
    <w:rsid w:val="00777300"/>
    <w:rsid w:val="00784F90"/>
    <w:rsid w:val="007B3597"/>
    <w:rsid w:val="007B3B78"/>
    <w:rsid w:val="007B6D27"/>
    <w:rsid w:val="007D0E01"/>
    <w:rsid w:val="007E39FC"/>
    <w:rsid w:val="007E457E"/>
    <w:rsid w:val="007F36EB"/>
    <w:rsid w:val="007F3D47"/>
    <w:rsid w:val="0080080A"/>
    <w:rsid w:val="00800E36"/>
    <w:rsid w:val="008026F1"/>
    <w:rsid w:val="008048B9"/>
    <w:rsid w:val="00805F70"/>
    <w:rsid w:val="00810B8C"/>
    <w:rsid w:val="00814957"/>
    <w:rsid w:val="00814D64"/>
    <w:rsid w:val="00821841"/>
    <w:rsid w:val="00823783"/>
    <w:rsid w:val="00827E39"/>
    <w:rsid w:val="0083155F"/>
    <w:rsid w:val="00832A42"/>
    <w:rsid w:val="00832BA7"/>
    <w:rsid w:val="00855C8E"/>
    <w:rsid w:val="008604BA"/>
    <w:rsid w:val="00866427"/>
    <w:rsid w:val="00870977"/>
    <w:rsid w:val="00880BB6"/>
    <w:rsid w:val="00883383"/>
    <w:rsid w:val="008A26D6"/>
    <w:rsid w:val="008A57E8"/>
    <w:rsid w:val="008B1A0A"/>
    <w:rsid w:val="008B41EC"/>
    <w:rsid w:val="008B556B"/>
    <w:rsid w:val="008C5B91"/>
    <w:rsid w:val="008C76AA"/>
    <w:rsid w:val="008D2471"/>
    <w:rsid w:val="008D61C8"/>
    <w:rsid w:val="008E6401"/>
    <w:rsid w:val="00900F37"/>
    <w:rsid w:val="00900FBE"/>
    <w:rsid w:val="00901F2E"/>
    <w:rsid w:val="0092496A"/>
    <w:rsid w:val="009269D9"/>
    <w:rsid w:val="00956B7A"/>
    <w:rsid w:val="00960F86"/>
    <w:rsid w:val="00970F86"/>
    <w:rsid w:val="00983C1A"/>
    <w:rsid w:val="00985977"/>
    <w:rsid w:val="00990556"/>
    <w:rsid w:val="009A2C5C"/>
    <w:rsid w:val="009B3EE5"/>
    <w:rsid w:val="009B4ACE"/>
    <w:rsid w:val="009C27F1"/>
    <w:rsid w:val="009D34BC"/>
    <w:rsid w:val="009E1CBD"/>
    <w:rsid w:val="009E2522"/>
    <w:rsid w:val="009E324D"/>
    <w:rsid w:val="009E5D54"/>
    <w:rsid w:val="009F0934"/>
    <w:rsid w:val="009F2553"/>
    <w:rsid w:val="009F3E46"/>
    <w:rsid w:val="009F6611"/>
    <w:rsid w:val="00A007D8"/>
    <w:rsid w:val="00A07752"/>
    <w:rsid w:val="00A1739A"/>
    <w:rsid w:val="00A17794"/>
    <w:rsid w:val="00A179AA"/>
    <w:rsid w:val="00A17B4B"/>
    <w:rsid w:val="00A20DE5"/>
    <w:rsid w:val="00A37BD5"/>
    <w:rsid w:val="00A57094"/>
    <w:rsid w:val="00A62388"/>
    <w:rsid w:val="00A733B3"/>
    <w:rsid w:val="00A80715"/>
    <w:rsid w:val="00A811A5"/>
    <w:rsid w:val="00A901E1"/>
    <w:rsid w:val="00AE4394"/>
    <w:rsid w:val="00AE4A1E"/>
    <w:rsid w:val="00AF6733"/>
    <w:rsid w:val="00B23C93"/>
    <w:rsid w:val="00B26D77"/>
    <w:rsid w:val="00B307B9"/>
    <w:rsid w:val="00B30B69"/>
    <w:rsid w:val="00B4250F"/>
    <w:rsid w:val="00B53AD7"/>
    <w:rsid w:val="00B610EA"/>
    <w:rsid w:val="00B63F49"/>
    <w:rsid w:val="00B70D23"/>
    <w:rsid w:val="00B9093E"/>
    <w:rsid w:val="00B97475"/>
    <w:rsid w:val="00BA10FA"/>
    <w:rsid w:val="00BB3ED5"/>
    <w:rsid w:val="00BB4229"/>
    <w:rsid w:val="00BD02F8"/>
    <w:rsid w:val="00BF0185"/>
    <w:rsid w:val="00C10A85"/>
    <w:rsid w:val="00C119D3"/>
    <w:rsid w:val="00C11BC1"/>
    <w:rsid w:val="00C13E4C"/>
    <w:rsid w:val="00C1493A"/>
    <w:rsid w:val="00C21986"/>
    <w:rsid w:val="00C34489"/>
    <w:rsid w:val="00C3534C"/>
    <w:rsid w:val="00C65736"/>
    <w:rsid w:val="00C72636"/>
    <w:rsid w:val="00C75FE4"/>
    <w:rsid w:val="00CA4977"/>
    <w:rsid w:val="00CB5F5E"/>
    <w:rsid w:val="00CC3981"/>
    <w:rsid w:val="00CE2BE4"/>
    <w:rsid w:val="00D02A8F"/>
    <w:rsid w:val="00D20DEA"/>
    <w:rsid w:val="00D23F02"/>
    <w:rsid w:val="00D32468"/>
    <w:rsid w:val="00D417A0"/>
    <w:rsid w:val="00D62F3D"/>
    <w:rsid w:val="00D63CA2"/>
    <w:rsid w:val="00D70504"/>
    <w:rsid w:val="00D74003"/>
    <w:rsid w:val="00D75BF4"/>
    <w:rsid w:val="00D84F1F"/>
    <w:rsid w:val="00DA3BE5"/>
    <w:rsid w:val="00DA4F2B"/>
    <w:rsid w:val="00DB3AA0"/>
    <w:rsid w:val="00DB548A"/>
    <w:rsid w:val="00DC0DD4"/>
    <w:rsid w:val="00DE4A82"/>
    <w:rsid w:val="00E01B9F"/>
    <w:rsid w:val="00E06535"/>
    <w:rsid w:val="00E1371D"/>
    <w:rsid w:val="00E160FF"/>
    <w:rsid w:val="00E16836"/>
    <w:rsid w:val="00E1762F"/>
    <w:rsid w:val="00E23237"/>
    <w:rsid w:val="00E32351"/>
    <w:rsid w:val="00E42C1A"/>
    <w:rsid w:val="00E653D3"/>
    <w:rsid w:val="00E80960"/>
    <w:rsid w:val="00E82AE4"/>
    <w:rsid w:val="00E83D47"/>
    <w:rsid w:val="00E95841"/>
    <w:rsid w:val="00EA1042"/>
    <w:rsid w:val="00EC2249"/>
    <w:rsid w:val="00EC54CD"/>
    <w:rsid w:val="00ED715A"/>
    <w:rsid w:val="00EE1BE6"/>
    <w:rsid w:val="00F023B8"/>
    <w:rsid w:val="00F173B8"/>
    <w:rsid w:val="00F23E3C"/>
    <w:rsid w:val="00F2476B"/>
    <w:rsid w:val="00F33856"/>
    <w:rsid w:val="00F37833"/>
    <w:rsid w:val="00F37AC5"/>
    <w:rsid w:val="00F46B00"/>
    <w:rsid w:val="00F56D39"/>
    <w:rsid w:val="00F60AFA"/>
    <w:rsid w:val="00F82697"/>
    <w:rsid w:val="00F9118D"/>
    <w:rsid w:val="00FA0892"/>
    <w:rsid w:val="00FA0DCB"/>
    <w:rsid w:val="00FA3285"/>
    <w:rsid w:val="00FA441A"/>
    <w:rsid w:val="00FB7016"/>
    <w:rsid w:val="00FB7615"/>
    <w:rsid w:val="00FC4C38"/>
    <w:rsid w:val="00F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80BB6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aliases w:val=" Diagrama Diagrama Char Char"/>
    <w:link w:val="Diagrama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800E36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800E36"/>
    <w:pPr>
      <w:tabs>
        <w:tab w:val="center" w:pos="4677"/>
        <w:tab w:val="right" w:pos="9355"/>
      </w:tabs>
    </w:pPr>
  </w:style>
  <w:style w:type="character" w:styleId="Hipersaitas">
    <w:name w:val="Hyperlink"/>
    <w:rsid w:val="00800E36"/>
    <w:rPr>
      <w:color w:val="0000FF"/>
      <w:u w:val="single"/>
    </w:rPr>
  </w:style>
  <w:style w:type="character" w:customStyle="1" w:styleId="EG">
    <w:name w:val="El. pašto stilius18"/>
    <w:aliases w:val="El. pašto stilius18"/>
    <w:semiHidden/>
    <w:personal/>
    <w:rsid w:val="006118F2"/>
    <w:rPr>
      <w:rFonts w:ascii="Arial" w:hAnsi="Arial" w:cs="Arial"/>
      <w:color w:val="auto"/>
      <w:sz w:val="20"/>
      <w:szCs w:val="20"/>
    </w:rPr>
  </w:style>
  <w:style w:type="table" w:styleId="Lentelstinklelis">
    <w:name w:val="Table Grid"/>
    <w:basedOn w:val="prastojilentel"/>
    <w:rsid w:val="0088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880BB6"/>
    <w:rPr>
      <w:b/>
      <w:bCs/>
    </w:rPr>
  </w:style>
  <w:style w:type="paragraph" w:styleId="prastasistinklapis">
    <w:name w:val="Normal (Web)"/>
    <w:basedOn w:val="prastasis"/>
    <w:rsid w:val="008D2471"/>
    <w:pPr>
      <w:spacing w:before="100" w:beforeAutospacing="1" w:after="119"/>
    </w:pPr>
    <w:rPr>
      <w:lang w:val="lt-LT" w:eastAsia="lt-LT"/>
    </w:rPr>
  </w:style>
  <w:style w:type="paragraph" w:styleId="Pagrindiniotekstotrauka">
    <w:name w:val="Body Text Indent"/>
    <w:basedOn w:val="prastasis"/>
    <w:rsid w:val="008D2471"/>
    <w:pPr>
      <w:spacing w:after="120"/>
      <w:ind w:left="283"/>
    </w:pPr>
    <w:rPr>
      <w:sz w:val="20"/>
      <w:szCs w:val="20"/>
      <w:lang w:val="en-US" w:eastAsia="lt-LT"/>
    </w:rPr>
  </w:style>
  <w:style w:type="paragraph" w:customStyle="1" w:styleId="NormalJustified">
    <w:name w:val="Normal + Justified"/>
    <w:basedOn w:val="prastasis"/>
    <w:rsid w:val="008D2471"/>
    <w:pPr>
      <w:jc w:val="both"/>
    </w:pPr>
    <w:rPr>
      <w:lang w:val="lt-LT"/>
    </w:rPr>
  </w:style>
  <w:style w:type="character" w:styleId="Perirtashipersaitas">
    <w:name w:val="FollowedHyperlink"/>
    <w:rsid w:val="009F2553"/>
    <w:rPr>
      <w:color w:val="800080"/>
      <w:u w:val="single"/>
    </w:rPr>
  </w:style>
  <w:style w:type="character" w:customStyle="1" w:styleId="visualization-table">
    <w:name w:val="visualization-table"/>
    <w:basedOn w:val="Numatytasispastraiposriftas"/>
    <w:rsid w:val="0062024C"/>
  </w:style>
  <w:style w:type="paragraph" w:customStyle="1" w:styleId="DiagramaDiagrama">
    <w:name w:val=" Diagrama Diagrama"/>
    <w:basedOn w:val="prastasis"/>
    <w:link w:val="Numatytasispastraiposriftas"/>
    <w:rsid w:val="008D61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A901E1"/>
  </w:style>
  <w:style w:type="paragraph" w:styleId="Debesliotekstas">
    <w:name w:val="Balloon Text"/>
    <w:basedOn w:val="prastasis"/>
    <w:semiHidden/>
    <w:rsid w:val="00222D9D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A104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EA104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80BB6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aliases w:val=" Diagrama Diagrama Char Char"/>
    <w:link w:val="Diagrama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800E36"/>
    <w:pPr>
      <w:tabs>
        <w:tab w:val="center" w:pos="4677"/>
        <w:tab w:val="right" w:pos="9355"/>
      </w:tabs>
    </w:pPr>
  </w:style>
  <w:style w:type="paragraph" w:styleId="Porat">
    <w:name w:val="footer"/>
    <w:basedOn w:val="prastasis"/>
    <w:rsid w:val="00800E36"/>
    <w:pPr>
      <w:tabs>
        <w:tab w:val="center" w:pos="4677"/>
        <w:tab w:val="right" w:pos="9355"/>
      </w:tabs>
    </w:pPr>
  </w:style>
  <w:style w:type="character" w:styleId="Hipersaitas">
    <w:name w:val="Hyperlink"/>
    <w:rsid w:val="00800E36"/>
    <w:rPr>
      <w:color w:val="0000FF"/>
      <w:u w:val="single"/>
    </w:rPr>
  </w:style>
  <w:style w:type="character" w:customStyle="1" w:styleId="EG">
    <w:name w:val="El. pašto stilius18"/>
    <w:aliases w:val="El. pašto stilius18"/>
    <w:semiHidden/>
    <w:personal/>
    <w:rsid w:val="006118F2"/>
    <w:rPr>
      <w:rFonts w:ascii="Arial" w:hAnsi="Arial" w:cs="Arial"/>
      <w:color w:val="auto"/>
      <w:sz w:val="20"/>
      <w:szCs w:val="20"/>
    </w:rPr>
  </w:style>
  <w:style w:type="table" w:styleId="Lentelstinklelis">
    <w:name w:val="Table Grid"/>
    <w:basedOn w:val="prastojilentel"/>
    <w:rsid w:val="0088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880BB6"/>
    <w:rPr>
      <w:b/>
      <w:bCs/>
    </w:rPr>
  </w:style>
  <w:style w:type="paragraph" w:styleId="prastasistinklapis">
    <w:name w:val="Normal (Web)"/>
    <w:basedOn w:val="prastasis"/>
    <w:rsid w:val="008D2471"/>
    <w:pPr>
      <w:spacing w:before="100" w:beforeAutospacing="1" w:after="119"/>
    </w:pPr>
    <w:rPr>
      <w:lang w:val="lt-LT" w:eastAsia="lt-LT"/>
    </w:rPr>
  </w:style>
  <w:style w:type="paragraph" w:styleId="Pagrindiniotekstotrauka">
    <w:name w:val="Body Text Indent"/>
    <w:basedOn w:val="prastasis"/>
    <w:rsid w:val="008D2471"/>
    <w:pPr>
      <w:spacing w:after="120"/>
      <w:ind w:left="283"/>
    </w:pPr>
    <w:rPr>
      <w:sz w:val="20"/>
      <w:szCs w:val="20"/>
      <w:lang w:val="en-US" w:eastAsia="lt-LT"/>
    </w:rPr>
  </w:style>
  <w:style w:type="paragraph" w:customStyle="1" w:styleId="NormalJustified">
    <w:name w:val="Normal + Justified"/>
    <w:basedOn w:val="prastasis"/>
    <w:rsid w:val="008D2471"/>
    <w:pPr>
      <w:jc w:val="both"/>
    </w:pPr>
    <w:rPr>
      <w:lang w:val="lt-LT"/>
    </w:rPr>
  </w:style>
  <w:style w:type="character" w:styleId="Perirtashipersaitas">
    <w:name w:val="FollowedHyperlink"/>
    <w:rsid w:val="009F2553"/>
    <w:rPr>
      <w:color w:val="800080"/>
      <w:u w:val="single"/>
    </w:rPr>
  </w:style>
  <w:style w:type="character" w:customStyle="1" w:styleId="visualization-table">
    <w:name w:val="visualization-table"/>
    <w:basedOn w:val="Numatytasispastraiposriftas"/>
    <w:rsid w:val="0062024C"/>
  </w:style>
  <w:style w:type="paragraph" w:customStyle="1" w:styleId="DiagramaDiagrama">
    <w:name w:val=" Diagrama Diagrama"/>
    <w:basedOn w:val="prastasis"/>
    <w:link w:val="Numatytasispastraiposriftas"/>
    <w:rsid w:val="008D61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A901E1"/>
  </w:style>
  <w:style w:type="paragraph" w:styleId="Debesliotekstas">
    <w:name w:val="Balloon Text"/>
    <w:basedOn w:val="prastasis"/>
    <w:semiHidden/>
    <w:rsid w:val="00222D9D"/>
    <w:rPr>
      <w:rFonts w:ascii="Tahoma" w:hAnsi="Tahoma" w:cs="Tahoma"/>
      <w:sz w:val="16"/>
      <w:szCs w:val="16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A104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EA104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Personalo pokyčiai 2010-2014 m.</a:t>
            </a:r>
          </a:p>
        </c:rich>
      </c:tx>
      <c:layout>
        <c:manualLayout>
          <c:xMode val="edge"/>
          <c:yMode val="edge"/>
          <c:x val="0.3317901234567901"/>
          <c:y val="2.3255813953488372E-2"/>
        </c:manualLayout>
      </c:layout>
      <c:overlay val="0"/>
      <c:spPr>
        <a:noFill/>
        <a:ln w="25402">
          <a:noFill/>
        </a:ln>
      </c:spPr>
    </c:title>
    <c:autoTitleDeleted val="0"/>
    <c:view3D>
      <c:rotX val="0"/>
      <c:hPercent val="41"/>
      <c:rotY val="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3209876543209874E-2"/>
          <c:y val="0.19933554817275748"/>
          <c:w val="0.86728395061728392"/>
          <c:h val="0.637873754152823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4660493827160495"/>
                  <c:y val="0.196013289036544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2253086419753085"/>
                  <c:y val="0.508305647840531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0308641975308643"/>
                  <c:y val="0.388704318936877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7592592592592593"/>
                  <c:y val="0.697674418604651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Darbuotojų skaičius, žm.</c:v>
                </c:pt>
                <c:pt idx="1">
                  <c:v>Vairuotojai-konduktoriai, žm.</c:v>
                </c:pt>
                <c:pt idx="2">
                  <c:v>Darbuotojų amžiaus vidurkis, m</c:v>
                </c:pt>
                <c:pt idx="3">
                  <c:v>Darbo stažo bendrovėje vidurkis, m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35</c:v>
                </c:pt>
                <c:pt idx="2">
                  <c:v>47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7438271604938271"/>
                  <c:y val="0.225913621262458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5030864197530864"/>
                  <c:y val="0.528239202657807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2777777777777779"/>
                  <c:y val="0.385382059800664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7021604938271605"/>
                  <c:y val="0.697674418604651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Darbuotojų skaičius, žm.</c:v>
                </c:pt>
                <c:pt idx="1">
                  <c:v>Vairuotojai-konduktoriai, žm.</c:v>
                </c:pt>
                <c:pt idx="2">
                  <c:v>Darbuotojų amžiaus vidurkis, m</c:v>
                </c:pt>
                <c:pt idx="3">
                  <c:v>Darbo stažo bendrovėje vidurkis, m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69</c:v>
                </c:pt>
                <c:pt idx="1">
                  <c:v>33</c:v>
                </c:pt>
                <c:pt idx="2">
                  <c:v>48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907407407407407"/>
                  <c:y val="0.232558139534883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75"/>
                  <c:y val="0.538205980066445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5401234567901236"/>
                  <c:y val="0.382059800664451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72993827160493829"/>
                  <c:y val="0.68106312292358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Darbuotojų skaičius, žm.</c:v>
                </c:pt>
                <c:pt idx="1">
                  <c:v>Vairuotojai-konduktoriai, žm.</c:v>
                </c:pt>
                <c:pt idx="2">
                  <c:v>Darbuotojų amžiaus vidurkis, m</c:v>
                </c:pt>
                <c:pt idx="3">
                  <c:v>Darbo stažo bendrovėje vidurkis, m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66</c:v>
                </c:pt>
                <c:pt idx="1">
                  <c:v>31</c:v>
                </c:pt>
                <c:pt idx="2">
                  <c:v>49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2685185185185186"/>
                  <c:y val="0.275747508305647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86419753086422"/>
                  <c:y val="0.5481727574750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8024691358024694"/>
                  <c:y val="0.378737541528239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75771604938271608"/>
                  <c:y val="0.68106312292358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Darbuotojų skaičius, žm.</c:v>
                </c:pt>
                <c:pt idx="1">
                  <c:v>Vairuotojai-konduktoriai, žm.</c:v>
                </c:pt>
                <c:pt idx="2">
                  <c:v>Darbuotojų amžiaus vidurkis, m</c:v>
                </c:pt>
                <c:pt idx="3">
                  <c:v>Darbo stažo bendrovėje vidurkis, m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65</c:v>
                </c:pt>
                <c:pt idx="1">
                  <c:v>30</c:v>
                </c:pt>
                <c:pt idx="2">
                  <c:v>50</c:v>
                </c:pt>
                <c:pt idx="3">
                  <c:v>13</c:v>
                </c:pt>
              </c:numCache>
            </c:numRef>
          </c:val>
        </c:ser>
        <c:ser>
          <c:idx val="9"/>
          <c:order val="4"/>
          <c:tx>
            <c:strRef>
              <c:f>Sheet1!$A$6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00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5462962962962965"/>
                  <c:y val="0.29235880398671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3364197530864196"/>
                  <c:y val="0.538205980066445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61111111111111116"/>
                  <c:y val="0.382059800664451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78703703703703709"/>
                  <c:y val="0.68106312292358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Darbuotojų skaičius, žm.</c:v>
                </c:pt>
                <c:pt idx="1">
                  <c:v>Vairuotojai-konduktoriai, žm.</c:v>
                </c:pt>
                <c:pt idx="2">
                  <c:v>Darbuotojų amžiaus vidurkis, m</c:v>
                </c:pt>
                <c:pt idx="3">
                  <c:v>Darbo stažo bendrovėje vidurkis, m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63</c:v>
                </c:pt>
                <c:pt idx="1">
                  <c:v>31</c:v>
                </c:pt>
                <c:pt idx="2">
                  <c:v>51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747072"/>
        <c:axId val="155748608"/>
        <c:axId val="0"/>
      </c:bar3DChart>
      <c:catAx>
        <c:axId val="15574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5748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7486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5747072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93055555555555558"/>
          <c:y val="0.40863787375415284"/>
          <c:w val="6.4814814814814811E-2"/>
          <c:h val="0.3189368770764119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2013-2014 m. vidutinio mėnesinio (bruto) darbo užmokesčio palyginimas</a:t>
            </a:r>
          </a:p>
        </c:rich>
      </c:tx>
      <c:layout>
        <c:manualLayout>
          <c:xMode val="edge"/>
          <c:yMode val="edge"/>
          <c:x val="0.15846153846153846"/>
          <c:y val="3.4782608695652174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53846153846154"/>
          <c:y val="0.25217391304347825"/>
          <c:w val="0.67076923076923078"/>
          <c:h val="0.5304347826086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Lietuvos keleivinio transporto įmonėse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769230769230769"/>
                  <c:y val="0.317391304347826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969230769230769"/>
                  <c:y val="0.308695652173913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646153846153846"/>
                  <c:y val="0.195652173913043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3076923076923075"/>
                  <c:y val="0.23913043478260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Vidutinis DU 2013 m</c:v>
                </c:pt>
                <c:pt idx="1">
                  <c:v>Vidutinis DU 2014 m</c:v>
                </c:pt>
                <c:pt idx="2">
                  <c:v>Vairuotojų vidutinis DU 2013 m</c:v>
                </c:pt>
                <c:pt idx="3">
                  <c:v>Vairuotojų vidutinis DU 2014 m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2506</c:v>
                </c:pt>
                <c:pt idx="1">
                  <c:v>2522</c:v>
                </c:pt>
                <c:pt idx="2">
                  <c:v>2678</c:v>
                </c:pt>
                <c:pt idx="3">
                  <c:v>2625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UAB Kretingos autobusų parkas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461538461538461"/>
                  <c:y val="0.365217391304347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323076923076923"/>
                  <c:y val="0.321739130434782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"/>
                  <c:y val="0.4739130434782608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6923076923076918"/>
                  <c:y val="0.447826086956521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Vidutinis DU 2013 m</c:v>
                </c:pt>
                <c:pt idx="1">
                  <c:v>Vidutinis DU 2014 m</c:v>
                </c:pt>
                <c:pt idx="2">
                  <c:v>Vairuotojų vidutinis DU 2013 m</c:v>
                </c:pt>
                <c:pt idx="3">
                  <c:v>Vairuotojų vidutinis DU 2014 m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2430</c:v>
                </c:pt>
                <c:pt idx="1">
                  <c:v>2492</c:v>
                </c:pt>
                <c:pt idx="2">
                  <c:v>2255</c:v>
                </c:pt>
                <c:pt idx="3">
                  <c:v>2292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Šalies ūkyje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0461538461538462"/>
                  <c:y val="0.426086956521739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7230769230769228"/>
                  <c:y val="0.347826086956521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Vidutinis DU 2013 m</c:v>
                </c:pt>
                <c:pt idx="1">
                  <c:v>Vidutinis DU 2014 m</c:v>
                </c:pt>
                <c:pt idx="2">
                  <c:v>Vairuotojų vidutinis DU 2013 m</c:v>
                </c:pt>
                <c:pt idx="3">
                  <c:v>Vairuotojų vidutinis DU 2014 m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2340</c:v>
                </c:pt>
                <c:pt idx="1">
                  <c:v>2467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944064"/>
        <c:axId val="155945600"/>
      </c:barChart>
      <c:catAx>
        <c:axId val="15594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5945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9456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Lt</a:t>
                </a:r>
              </a:p>
            </c:rich>
          </c:tx>
          <c:layout>
            <c:manualLayout>
              <c:xMode val="edge"/>
              <c:yMode val="edge"/>
              <c:x val="1.3846153846153847E-2"/>
              <c:y val="0.41304347826086957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5944064"/>
        <c:crosses val="autoZero"/>
        <c:crossBetween val="between"/>
      </c:valAx>
      <c:spPr>
        <a:noFill/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692307692307694"/>
          <c:y val="0.24347826086956523"/>
          <c:w val="0.21384615384615385"/>
          <c:h val="0.5478260869565216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2012-2014 m. autobusų ridos maršrutuose palyginimas</a:t>
            </a:r>
          </a:p>
        </c:rich>
      </c:tx>
      <c:layout>
        <c:manualLayout>
          <c:xMode val="edge"/>
          <c:yMode val="edge"/>
          <c:x val="0.24307692307692308"/>
          <c:y val="3.4782608695652174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"/>
          <c:y val="0.25217391304347825"/>
          <c:w val="0.79076923076923078"/>
          <c:h val="0.53043478260869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153846153846154"/>
                  <c:y val="0.630434782608695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8153846153846152"/>
                  <c:y val="0.269565217391304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4307692307692309"/>
                  <c:y val="0.573913043478260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953846153846154"/>
                  <c:y val="0.643478260869565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5384615384615383"/>
                  <c:y val="0.1217391304347826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112</c:v>
                </c:pt>
                <c:pt idx="1">
                  <c:v>836.1</c:v>
                </c:pt>
                <c:pt idx="2">
                  <c:v>125.7</c:v>
                </c:pt>
                <c:pt idx="3">
                  <c:v>41.5</c:v>
                </c:pt>
                <c:pt idx="4">
                  <c:v>1115.3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5846153846153846"/>
                  <c:y val="0.59130434782608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2153846153846155"/>
                  <c:y val="0.2782608695652173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7384615384615386"/>
                  <c:y val="0.573913043478260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3076923076923075"/>
                  <c:y val="0.652173913043478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9076923076923078"/>
                  <c:y val="0.13043478260869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112.4</c:v>
                </c:pt>
                <c:pt idx="1">
                  <c:v>814.4</c:v>
                </c:pt>
                <c:pt idx="2">
                  <c:v>124.9</c:v>
                </c:pt>
                <c:pt idx="3">
                  <c:v>39.1</c:v>
                </c:pt>
                <c:pt idx="4">
                  <c:v>1090.8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692307692307692"/>
                  <c:y val="0.586956521739130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5230769230769232"/>
                  <c:y val="0.2739130434782608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0923076923076926"/>
                  <c:y val="0.59130434782608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6615384615384621"/>
                  <c:y val="0.682608695652173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82769230769230773"/>
                  <c:y val="0.13913043478260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114.2</c:v>
                </c:pt>
                <c:pt idx="1">
                  <c:v>813.4</c:v>
                </c:pt>
                <c:pt idx="2">
                  <c:v>104.6</c:v>
                </c:pt>
                <c:pt idx="3">
                  <c:v>48</c:v>
                </c:pt>
                <c:pt idx="4">
                  <c:v>1080.2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6264320"/>
        <c:axId val="156265856"/>
      </c:barChart>
      <c:catAx>
        <c:axId val="15626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6265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2658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kmt</a:t>
                </a:r>
              </a:p>
            </c:rich>
          </c:tx>
          <c:layout>
            <c:manualLayout>
              <c:xMode val="edge"/>
              <c:yMode val="edge"/>
              <c:x val="1.0769230769230769E-2"/>
              <c:y val="0.39130434782608697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6264320"/>
        <c:crosses val="autoZero"/>
        <c:crossBetween val="between"/>
      </c:valAx>
      <c:spPr>
        <a:noFill/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230769230769226"/>
          <c:y val="0.25217391304347825"/>
          <c:w val="8.1538461538461532E-2"/>
          <c:h val="0.5565217391304347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2012-2014 m. pervežtų keleivių maršrutuose palyginimas</a:t>
            </a:r>
          </a:p>
        </c:rich>
      </c:tx>
      <c:layout>
        <c:manualLayout>
          <c:xMode val="edge"/>
          <c:yMode val="edge"/>
          <c:x val="0.23384615384615384"/>
          <c:y val="3.4782608695652174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"/>
          <c:y val="0.25217391304347825"/>
          <c:w val="0.79076923076923078"/>
          <c:h val="0.53043478260869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461538461538461"/>
                  <c:y val="0.517391304347826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8000000000000003"/>
                  <c:y val="0.282608695652173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4153846153846155"/>
                  <c:y val="0.621739130434782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9692307692307689"/>
                  <c:y val="0.613043478260869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5230769230769234"/>
                  <c:y val="0.13043478260869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250.67</c:v>
                </c:pt>
                <c:pt idx="1">
                  <c:v>874.18</c:v>
                </c:pt>
                <c:pt idx="2">
                  <c:v>22.01</c:v>
                </c:pt>
                <c:pt idx="3">
                  <c:v>67.650000000000006</c:v>
                </c:pt>
                <c:pt idx="4">
                  <c:v>1214.51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307692307692306"/>
                  <c:y val="0.547826086956521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1692307692307692"/>
                  <c:y val="0.308695652173913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7384615384615386"/>
                  <c:y val="0.647826086956521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3076923076923075"/>
                  <c:y val="0.639130434782608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9230769230769227"/>
                  <c:y val="0.156521739130434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247.6</c:v>
                </c:pt>
                <c:pt idx="1">
                  <c:v>867.8</c:v>
                </c:pt>
                <c:pt idx="2">
                  <c:v>21.4</c:v>
                </c:pt>
                <c:pt idx="3">
                  <c:v>64.900000000000006</c:v>
                </c:pt>
                <c:pt idx="4">
                  <c:v>1201.7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384615384615383"/>
                  <c:y val="0.547826086956521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5538461538461541"/>
                  <c:y val="0.286956521739130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0769230769230766"/>
                  <c:y val="0.656521739130434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6615384615384621"/>
                  <c:y val="0.643478260869565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82923076923076922"/>
                  <c:y val="0.13913043478260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257.3</c:v>
                </c:pt>
                <c:pt idx="1">
                  <c:v>924.1</c:v>
                </c:pt>
                <c:pt idx="2">
                  <c:v>17.600000000000001</c:v>
                </c:pt>
                <c:pt idx="3">
                  <c:v>52.9</c:v>
                </c:pt>
                <c:pt idx="4">
                  <c:v>1251.9000000000001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8775936"/>
        <c:axId val="170082688"/>
      </c:barChart>
      <c:catAx>
        <c:axId val="15877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0082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0826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keleivių</a:t>
                </a:r>
              </a:p>
            </c:rich>
          </c:tx>
          <c:layout>
            <c:manualLayout>
              <c:xMode val="edge"/>
              <c:yMode val="edge"/>
              <c:x val="1.3846153846153847E-2"/>
              <c:y val="0.3652173913043478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8775936"/>
        <c:crosses val="autoZero"/>
        <c:crossBetween val="between"/>
      </c:valAx>
      <c:spPr>
        <a:noFill/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230769230769226"/>
          <c:y val="0.25217391304347825"/>
          <c:w val="8.1538461538461532E-2"/>
          <c:h val="0.5565217391304347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2012-2014 m. pagrindinės veiklos pajamų palyginimas</a:t>
            </a:r>
          </a:p>
        </c:rich>
      </c:tx>
      <c:layout>
        <c:manualLayout>
          <c:xMode val="edge"/>
          <c:yMode val="edge"/>
          <c:x val="0.24461538461538462"/>
          <c:y val="3.4782608695652174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"/>
          <c:y val="0.25217391304347825"/>
          <c:w val="0.79076923076923078"/>
          <c:h val="0.53043478260869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307692307692308"/>
                  <c:y val="0.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8153846153846152"/>
                  <c:y val="0.2782608695652173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4307692307692309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9692307692307689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5692307692307692"/>
                  <c:y val="0.195652173913043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259.3</c:v>
                </c:pt>
                <c:pt idx="1">
                  <c:v>2208.4</c:v>
                </c:pt>
                <c:pt idx="2">
                  <c:v>155.9</c:v>
                </c:pt>
                <c:pt idx="3">
                  <c:v>136.1</c:v>
                </c:pt>
                <c:pt idx="4">
                  <c:v>2759.7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153846153846155"/>
                  <c:y val="0.604347826086956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1538461538461537"/>
                  <c:y val="0.2434782608695652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7538461538461541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3538461538461544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8923076923076918"/>
                  <c:y val="0.156521739130434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272.5</c:v>
                </c:pt>
                <c:pt idx="1">
                  <c:v>2460.5</c:v>
                </c:pt>
                <c:pt idx="2">
                  <c:v>158.9</c:v>
                </c:pt>
                <c:pt idx="3">
                  <c:v>123.3</c:v>
                </c:pt>
                <c:pt idx="4">
                  <c:v>3015.2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384615384615383"/>
                  <c:y val="0.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569230769230769"/>
                  <c:y val="0.25652173913043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0769230769230766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7076923076923078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82461538461538464"/>
                  <c:y val="0.1608695652173912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275.7</c:v>
                </c:pt>
                <c:pt idx="1">
                  <c:v>2413.6</c:v>
                </c:pt>
                <c:pt idx="2">
                  <c:v>133.9</c:v>
                </c:pt>
                <c:pt idx="3">
                  <c:v>149.1</c:v>
                </c:pt>
                <c:pt idx="4">
                  <c:v>2972.3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130816"/>
        <c:axId val="170161280"/>
      </c:barChart>
      <c:catAx>
        <c:axId val="17013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01612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1612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Lt be PVM</a:t>
                </a:r>
              </a:p>
            </c:rich>
          </c:tx>
          <c:layout>
            <c:manualLayout>
              <c:xMode val="edge"/>
              <c:yMode val="edge"/>
              <c:x val="1.3846153846153847E-2"/>
              <c:y val="0.3304347826086956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0130816"/>
        <c:crosses val="autoZero"/>
        <c:crossBetween val="between"/>
      </c:valAx>
      <c:spPr>
        <a:noFill/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230769230769226"/>
          <c:y val="0.25217391304347825"/>
          <c:w val="8.1538461538461532E-2"/>
          <c:h val="0.5565217391304347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2012-2014 m. pagrindinės veiklos sąnaudų palyginimas</a:t>
            </a:r>
          </a:p>
        </c:rich>
      </c:tx>
      <c:layout>
        <c:manualLayout>
          <c:xMode val="edge"/>
          <c:yMode val="edge"/>
          <c:x val="0.24153846153846154"/>
          <c:y val="3.4782608695652174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"/>
          <c:y val="0.25217391304347825"/>
          <c:w val="0.79076923076923078"/>
          <c:h val="0.53043478260869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307692307692308"/>
                  <c:y val="0.5695652173913043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8153846153846152"/>
                  <c:y val="0.282608695652173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4307692307692309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9692307692307689"/>
                  <c:y val="0.621739130434782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5692307692307692"/>
                  <c:y val="0.130434782608695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601.79999999999995</c:v>
                </c:pt>
                <c:pt idx="1">
                  <c:v>3148</c:v>
                </c:pt>
                <c:pt idx="2">
                  <c:v>185.8</c:v>
                </c:pt>
                <c:pt idx="3">
                  <c:v>130.6</c:v>
                </c:pt>
                <c:pt idx="4">
                  <c:v>4102.2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153846153846155"/>
                  <c:y val="0.586956521739130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1538461538461537"/>
                  <c:y val="0.247826086956521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7538461538461541"/>
                  <c:y val="0.613043478260869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3538461538461544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78923076923076918"/>
                  <c:y val="0.13913043478260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494.9</c:v>
                </c:pt>
                <c:pt idx="1">
                  <c:v>3130.1</c:v>
                </c:pt>
                <c:pt idx="2">
                  <c:v>250.2</c:v>
                </c:pt>
                <c:pt idx="3">
                  <c:v>156.80000000000001</c:v>
                </c:pt>
                <c:pt idx="4">
                  <c:v>4032.3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384615384615383"/>
                  <c:y val="0.586956521739130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569230769230769"/>
                  <c:y val="0.25652173913043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50769230769230766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67076923076923078"/>
                  <c:y val="0.617391304347826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82461538461538464"/>
                  <c:y val="0.143478260869565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 rot="-540000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Miesto maršrutai</c:v>
                </c:pt>
                <c:pt idx="1">
                  <c:v>Priemiestiniai maršrutai</c:v>
                </c:pt>
                <c:pt idx="2">
                  <c:v>Tolimojo maršrutas</c:v>
                </c:pt>
                <c:pt idx="3">
                  <c:v>Užsakomieji reisai</c:v>
                </c:pt>
                <c:pt idx="4">
                  <c:v>Iš viso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492.2</c:v>
                </c:pt>
                <c:pt idx="1">
                  <c:v>3109.5</c:v>
                </c:pt>
                <c:pt idx="2">
                  <c:v>192.9</c:v>
                </c:pt>
                <c:pt idx="3">
                  <c:v>182.8</c:v>
                </c:pt>
                <c:pt idx="4">
                  <c:v>3977.4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185088"/>
        <c:axId val="170186624"/>
      </c:barChart>
      <c:catAx>
        <c:axId val="17018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0186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1866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Lt be PVM</a:t>
                </a:r>
              </a:p>
            </c:rich>
          </c:tx>
          <c:layout>
            <c:manualLayout>
              <c:xMode val="edge"/>
              <c:yMode val="edge"/>
              <c:x val="1.3846153846153847E-2"/>
              <c:y val="0.3304347826086956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0185088"/>
        <c:crosses val="autoZero"/>
        <c:crossBetween val="between"/>
      </c:valAx>
      <c:spPr>
        <a:noFill/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230769230769226"/>
          <c:y val="0.25217391304347825"/>
          <c:w val="8.1538461538461532E-2"/>
          <c:h val="0.5565217391304347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Degalų kainos, įsigyjamų degalų kiekio ir išlaidų degalams kitimas 2010-2014 m.</a:t>
            </a:r>
          </a:p>
        </c:rich>
      </c:tx>
      <c:layout>
        <c:manualLayout>
          <c:xMode val="edge"/>
          <c:yMode val="edge"/>
          <c:x val="0.12345679012345678"/>
          <c:y val="1.8691588785046728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2530864197530867E-2"/>
          <c:y val="0.1822429906542056"/>
          <c:w val="0.66203703703703709"/>
          <c:h val="0.63551401869158874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Vidutinė degalų kaina, Lt be PVM</c:v>
                </c:pt>
              </c:strCache>
            </c:strRef>
          </c:tx>
          <c:spPr>
            <a:ln w="25401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271604938271606"/>
                  <c:y val="0.70093457943925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7006172839506171"/>
                  <c:y val="0.70093457943925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9969135802469136"/>
                  <c:y val="0.705607476635514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4475308641975306"/>
                  <c:y val="0.7242990654205607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67592592592592593"/>
                  <c:y val="0.7242990654205607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2.8</c:v>
                </c:pt>
                <c:pt idx="1">
                  <c:v>3.44</c:v>
                </c:pt>
                <c:pt idx="2">
                  <c:v>3.64</c:v>
                </c:pt>
                <c:pt idx="3">
                  <c:v>3.47</c:v>
                </c:pt>
                <c:pt idx="4">
                  <c:v>3.27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Išlaidos degalams, tūkst. Lt be PVM</c:v>
                </c:pt>
              </c:strCache>
            </c:strRef>
          </c:tx>
          <c:spPr>
            <a:ln w="25401">
              <a:solidFill>
                <a:srgbClr val="339966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339966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95679012345679"/>
                  <c:y val="0.271028037383177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3456790123456789"/>
                  <c:y val="0.168224299065420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75"/>
                  <c:y val="0.168224299065420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2006172839506171"/>
                  <c:y val="0.191588785046728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68055555555555558"/>
                  <c:y val="0.280373831775700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830.4</c:v>
                </c:pt>
                <c:pt idx="1">
                  <c:v>1002.7</c:v>
                </c:pt>
                <c:pt idx="2">
                  <c:v>1006</c:v>
                </c:pt>
                <c:pt idx="3">
                  <c:v>935.1</c:v>
                </c:pt>
                <c:pt idx="4">
                  <c:v>839.5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Degalų kiekis, tūkst. l</c:v>
                </c:pt>
              </c:strCache>
            </c:strRef>
          </c:tx>
          <c:spPr>
            <a:ln w="25401">
              <a:solidFill>
                <a:srgbClr val="FF00FF"/>
              </a:solidFill>
              <a:prstDash val="solid"/>
            </a:ln>
          </c:spPr>
          <c:marker>
            <c:symbol val="square"/>
            <c:size val="7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802469135802469"/>
                  <c:y val="0.490654205607476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4382716049382716"/>
                  <c:y val="0.504672897196261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7962962962962965"/>
                  <c:y val="0.504672897196261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4475308641975306"/>
                  <c:y val="0.60280373831775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296.3</c:v>
                </c:pt>
                <c:pt idx="1">
                  <c:v>291.5</c:v>
                </c:pt>
                <c:pt idx="2">
                  <c:v>276</c:v>
                </c:pt>
                <c:pt idx="3">
                  <c:v>269.7</c:v>
                </c:pt>
                <c:pt idx="4">
                  <c:v>256.8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418752"/>
        <c:axId val="171420288"/>
      </c:lineChart>
      <c:catAx>
        <c:axId val="17141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1420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420288"/>
        <c:scaling>
          <c:orientation val="minMax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1418752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611111111111116"/>
          <c:y val="0.2102803738317757"/>
          <c:w val="0.2638888888888889"/>
          <c:h val="0.5794392523364485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Kompensacijų ir dotacijų pokytis 2010-2014 m.</a:t>
            </a:r>
          </a:p>
        </c:rich>
      </c:tx>
      <c:layout>
        <c:manualLayout>
          <c:xMode val="edge"/>
          <c:yMode val="edge"/>
          <c:x val="0.28726708074534163"/>
          <c:y val="0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645962732919254"/>
          <c:y val="0.18359375"/>
          <c:w val="0.56987577639751552"/>
          <c:h val="0.703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Kompensacijos už lengvatinius bilietus, tūskt. Lt su PVM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801242236024845"/>
                  <c:y val="0.6328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3136645962732919"/>
                  <c:y val="0.62109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4627329192546585"/>
                  <c:y val="0.62890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45807453416149069"/>
                  <c:y val="0.609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545.20000000000005</c:v>
                </c:pt>
                <c:pt idx="1">
                  <c:v>598.5</c:v>
                </c:pt>
                <c:pt idx="2">
                  <c:v>556.9</c:v>
                </c:pt>
                <c:pt idx="3">
                  <c:v>529.63</c:v>
                </c:pt>
                <c:pt idx="4">
                  <c:v>518.4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Mokinių pavežėjimas, tūkst. Lt su PVM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3354037267080746"/>
                  <c:y val="0.57421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484472049689441"/>
                  <c:y val="0.57421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6024844720496896"/>
                  <c:y val="0.5859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47670807453416147"/>
                  <c:y val="0.546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810.4</c:v>
                </c:pt>
                <c:pt idx="1">
                  <c:v>776.9</c:v>
                </c:pt>
                <c:pt idx="2">
                  <c:v>736.4</c:v>
                </c:pt>
                <c:pt idx="3">
                  <c:v>792.87</c:v>
                </c:pt>
                <c:pt idx="4">
                  <c:v>811.6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Dotacijos, tūkst. Lt be PVM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5217391304347827"/>
                  <c:y val="0.47265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6863354037267079"/>
                  <c:y val="0.41796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38198757763975155"/>
                  <c:y val="0.42578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49378881987577639"/>
                  <c:y val="0.4921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1132.9000000000001</c:v>
                </c:pt>
                <c:pt idx="1">
                  <c:v>1388.2</c:v>
                </c:pt>
                <c:pt idx="2">
                  <c:v>1318.1</c:v>
                </c:pt>
                <c:pt idx="3">
                  <c:v>1007.9</c:v>
                </c:pt>
                <c:pt idx="4">
                  <c:v>912.5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Iš viso iš sav. biudžeto, tūkst Lt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7236024844720496"/>
                  <c:y val="0.15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28726708074534163"/>
                  <c:y val="9.3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0062111801242234"/>
                  <c:y val="0.12890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2488.5</c:v>
                </c:pt>
                <c:pt idx="1">
                  <c:v>2761.6</c:v>
                </c:pt>
                <c:pt idx="2">
                  <c:v>2611.4</c:v>
                </c:pt>
                <c:pt idx="3">
                  <c:v>2330.4</c:v>
                </c:pt>
                <c:pt idx="4">
                  <c:v>2784.1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Savivalvybės įsiskolinimas gruodžio 31 d., tūkst. Lt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409937888198758"/>
                  <c:y val="0.58203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30745341614906835"/>
                  <c:y val="0.5859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42080745341614906"/>
                  <c:y val="0.58984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5357142857142857"/>
                  <c:y val="0.48828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Mode val="edge"/>
                  <c:yMode val="edge"/>
                  <c:x val="0.64906832298136641"/>
                  <c:y val="0.65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Sheet1!$B$6:$F$6</c:f>
              <c:numCache>
                <c:formatCode>General</c:formatCode>
                <c:ptCount val="5"/>
                <c:pt idx="0">
                  <c:v>751.7</c:v>
                </c:pt>
                <c:pt idx="1">
                  <c:v>733.5</c:v>
                </c:pt>
                <c:pt idx="2">
                  <c:v>855</c:v>
                </c:pt>
                <c:pt idx="3">
                  <c:v>1048.7</c:v>
                </c:pt>
                <c:pt idx="4">
                  <c:v>405.7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1524480"/>
        <c:axId val="171526016"/>
      </c:barChart>
      <c:catAx>
        <c:axId val="1715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1526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5260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tūkst. Lt</a:t>
                </a:r>
              </a:p>
            </c:rich>
          </c:tx>
          <c:layout>
            <c:manualLayout>
              <c:xMode val="edge"/>
              <c:yMode val="edge"/>
              <c:x val="2.4844720496894408E-2"/>
              <c:y val="0.44140625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71524480"/>
        <c:crosses val="autoZero"/>
        <c:crossBetween val="between"/>
      </c:valAx>
      <c:spPr>
        <a:noFill/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03105590062112"/>
          <c:y val="0.1875"/>
          <c:w val="0.2996894409937888"/>
          <c:h val="0.617187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KRETINGOS AUTOBUSŲ PARKO VADOVO ATASKAITA UŽ 2011 METUS</vt:lpstr>
      <vt:lpstr>UAB KRETINGOS AUTOBUSŲ PARKO VADOVO ATASKAITA UŽ 2011 METUS</vt:lpstr>
    </vt:vector>
  </TitlesOfParts>
  <Company>Hewlett-Packard Company</Company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KRETINGOS AUTOBUSŲ PARKO VADOVO ATASKAITA UŽ 2011 METUS</dc:title>
  <dc:creator>EG</dc:creator>
  <cp:lastModifiedBy>arunas</cp:lastModifiedBy>
  <cp:revision>2</cp:revision>
  <cp:lastPrinted>2015-05-05T10:58:00Z</cp:lastPrinted>
  <dcterms:created xsi:type="dcterms:W3CDTF">2015-05-05T12:39:00Z</dcterms:created>
  <dcterms:modified xsi:type="dcterms:W3CDTF">2015-05-05T12:39:00Z</dcterms:modified>
</cp:coreProperties>
</file>