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60" w:rsidRPr="00523060" w:rsidRDefault="00523060" w:rsidP="00523060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</w:t>
      </w:r>
      <w:r w:rsidRPr="00523060">
        <w:rPr>
          <w:rFonts w:eastAsia="Times New Roman"/>
          <w:lang w:eastAsia="ru-RU"/>
        </w:rPr>
        <w:t>PRITARTA</w:t>
      </w:r>
    </w:p>
    <w:p w:rsidR="00523060" w:rsidRPr="00523060" w:rsidRDefault="00523060" w:rsidP="00523060">
      <w:pPr>
        <w:rPr>
          <w:rFonts w:eastAsia="Times New Roman"/>
          <w:lang w:eastAsia="ru-RU"/>
        </w:rPr>
      </w:pPr>
      <w:r w:rsidRPr="00523060">
        <w:rPr>
          <w:rFonts w:eastAsia="Times New Roman"/>
          <w:lang w:eastAsia="ru-RU"/>
        </w:rPr>
        <w:t xml:space="preserve">                                                                                            Kretingos rajono savivaldybės tarybos                                                                                 </w:t>
      </w:r>
    </w:p>
    <w:p w:rsidR="00523060" w:rsidRPr="00523060" w:rsidRDefault="00523060" w:rsidP="00523060">
      <w:pPr>
        <w:rPr>
          <w:rFonts w:eastAsia="Times New Roman"/>
          <w:lang w:eastAsia="ru-RU"/>
        </w:rPr>
      </w:pPr>
      <w:r w:rsidRPr="00523060">
        <w:rPr>
          <w:rFonts w:eastAsia="Times New Roman"/>
          <w:lang w:eastAsia="ru-RU"/>
        </w:rPr>
        <w:t xml:space="preserve">                                                                                            2015 m. kovo </w:t>
      </w:r>
      <w:r w:rsidR="00942735">
        <w:rPr>
          <w:rFonts w:eastAsia="Times New Roman"/>
          <w:lang w:eastAsia="ru-RU"/>
        </w:rPr>
        <w:t>26</w:t>
      </w:r>
      <w:r w:rsidRPr="00523060">
        <w:rPr>
          <w:rFonts w:eastAsia="Times New Roman"/>
          <w:lang w:eastAsia="ru-RU"/>
        </w:rPr>
        <w:t xml:space="preserve"> d. sprendimu Nr.</w:t>
      </w:r>
      <w:r w:rsidR="00942735">
        <w:rPr>
          <w:rFonts w:eastAsia="Times New Roman"/>
          <w:lang w:eastAsia="ru-RU"/>
        </w:rPr>
        <w:t xml:space="preserve"> </w:t>
      </w:r>
      <w:r w:rsidRPr="00523060">
        <w:rPr>
          <w:rFonts w:eastAsia="Times New Roman"/>
          <w:lang w:eastAsia="ru-RU"/>
        </w:rPr>
        <w:t>T</w:t>
      </w:r>
      <w:r w:rsidR="00942735">
        <w:rPr>
          <w:rFonts w:eastAsia="Times New Roman"/>
          <w:lang w:eastAsia="ru-RU"/>
        </w:rPr>
        <w:t>2-</w:t>
      </w:r>
      <w:r w:rsidR="00A1334B">
        <w:rPr>
          <w:rFonts w:eastAsia="Times New Roman"/>
          <w:lang w:eastAsia="ru-RU"/>
        </w:rPr>
        <w:t>69</w:t>
      </w:r>
    </w:p>
    <w:p w:rsidR="00523060" w:rsidRDefault="00523060" w:rsidP="00D10596">
      <w:pPr>
        <w:jc w:val="center"/>
      </w:pPr>
      <w:r>
        <w:t xml:space="preserve">                                     </w:t>
      </w:r>
      <w:r w:rsidRPr="00523060">
        <w:t>1 priedas</w:t>
      </w:r>
    </w:p>
    <w:p w:rsidR="00523060" w:rsidRPr="00523060" w:rsidRDefault="00523060" w:rsidP="00D10596">
      <w:pPr>
        <w:jc w:val="center"/>
      </w:pPr>
    </w:p>
    <w:p w:rsidR="00D10596" w:rsidRDefault="00D461F5" w:rsidP="00D10596">
      <w:pPr>
        <w:jc w:val="center"/>
        <w:rPr>
          <w:b/>
        </w:rPr>
      </w:pPr>
      <w:r>
        <w:rPr>
          <w:b/>
        </w:rPr>
        <w:t xml:space="preserve">KRETINGOS </w:t>
      </w:r>
      <w:r w:rsidR="00D10596" w:rsidRPr="00764968">
        <w:rPr>
          <w:b/>
        </w:rPr>
        <w:t xml:space="preserve">RAJONO SAVIVALDYBĖS VIEŠOSIOS ĮSTAIGOS </w:t>
      </w:r>
    </w:p>
    <w:p w:rsidR="00D10596" w:rsidRDefault="00D10596" w:rsidP="00D10596">
      <w:pPr>
        <w:jc w:val="center"/>
        <w:rPr>
          <w:b/>
        </w:rPr>
      </w:pPr>
      <w:r w:rsidRPr="00764968">
        <w:rPr>
          <w:b/>
        </w:rPr>
        <w:t xml:space="preserve">KRETINGOS PIRMINĖS SVEIKATOS PRIEŽIŪROS </w:t>
      </w:r>
      <w:r>
        <w:rPr>
          <w:b/>
        </w:rPr>
        <w:t xml:space="preserve">CENTRO </w:t>
      </w:r>
    </w:p>
    <w:p w:rsidR="00D10596" w:rsidRPr="001753AF" w:rsidRDefault="00D10596" w:rsidP="008A77D3">
      <w:pPr>
        <w:jc w:val="center"/>
        <w:rPr>
          <w:b/>
        </w:rPr>
      </w:pPr>
      <w:r w:rsidRPr="001753AF">
        <w:rPr>
          <w:b/>
        </w:rPr>
        <w:t xml:space="preserve">2 0 1 </w:t>
      </w:r>
      <w:r w:rsidR="008A77D3" w:rsidRPr="001753AF">
        <w:rPr>
          <w:b/>
        </w:rPr>
        <w:t xml:space="preserve">4 </w:t>
      </w:r>
      <w:r w:rsidRPr="001753AF">
        <w:rPr>
          <w:b/>
        </w:rPr>
        <w:t xml:space="preserve"> M.  V Y R I A U S I O J O   G Y D Y T O J O </w:t>
      </w:r>
    </w:p>
    <w:p w:rsidR="00D10596" w:rsidRPr="001753AF" w:rsidRDefault="00D10596" w:rsidP="00D10596">
      <w:pPr>
        <w:jc w:val="center"/>
        <w:rPr>
          <w:b/>
        </w:rPr>
      </w:pPr>
      <w:r w:rsidRPr="001753AF">
        <w:rPr>
          <w:b/>
        </w:rPr>
        <w:t xml:space="preserve">V E I K L O S  </w:t>
      </w:r>
      <w:r w:rsidR="001753AF">
        <w:rPr>
          <w:b/>
        </w:rPr>
        <w:t xml:space="preserve"> </w:t>
      </w:r>
      <w:r w:rsidRPr="001753AF">
        <w:rPr>
          <w:b/>
        </w:rPr>
        <w:t>A T A S K A I T A</w:t>
      </w:r>
    </w:p>
    <w:p w:rsidR="00803B10" w:rsidRPr="001753AF" w:rsidRDefault="00803B10" w:rsidP="00D10596">
      <w:pPr>
        <w:jc w:val="center"/>
        <w:rPr>
          <w:b/>
        </w:rPr>
      </w:pPr>
    </w:p>
    <w:p w:rsidR="00C27187" w:rsidRPr="00DF737F" w:rsidRDefault="00C27187" w:rsidP="00803B10">
      <w:pPr>
        <w:rPr>
          <w:b/>
          <w:color w:val="000000"/>
        </w:rPr>
      </w:pPr>
      <w:r w:rsidRPr="00DF737F">
        <w:rPr>
          <w:b/>
          <w:color w:val="000000"/>
        </w:rPr>
        <w:t>1. Įstaigos pristatymas</w:t>
      </w:r>
      <w:r w:rsidR="007B77EF">
        <w:rPr>
          <w:b/>
          <w:color w:val="000000"/>
        </w:rPr>
        <w:t>.</w:t>
      </w:r>
    </w:p>
    <w:p w:rsidR="00C27187" w:rsidRDefault="00C27187" w:rsidP="00803B10">
      <w:pPr>
        <w:rPr>
          <w:b/>
        </w:rPr>
      </w:pPr>
    </w:p>
    <w:p w:rsidR="00C27187" w:rsidRDefault="00C27187" w:rsidP="009F4EE5">
      <w:pPr>
        <w:numPr>
          <w:ilvl w:val="1"/>
          <w:numId w:val="26"/>
        </w:numPr>
        <w:rPr>
          <w:u w:val="single"/>
        </w:rPr>
      </w:pPr>
      <w:r>
        <w:rPr>
          <w:u w:val="single"/>
        </w:rPr>
        <w:t>Juridinis statusas, pavadinimas, adresas, t</w:t>
      </w:r>
      <w:r w:rsidR="00427966">
        <w:rPr>
          <w:u w:val="single"/>
        </w:rPr>
        <w:t xml:space="preserve">elefonas, </w:t>
      </w:r>
      <w:proofErr w:type="spellStart"/>
      <w:r w:rsidR="00427966">
        <w:rPr>
          <w:u w:val="single"/>
        </w:rPr>
        <w:t>el.</w:t>
      </w:r>
      <w:r>
        <w:rPr>
          <w:u w:val="single"/>
        </w:rPr>
        <w:t>paštas</w:t>
      </w:r>
      <w:proofErr w:type="spellEnd"/>
      <w:r w:rsidR="009F4EE5">
        <w:rPr>
          <w:u w:val="single"/>
        </w:rPr>
        <w:t>,</w:t>
      </w:r>
      <w:r w:rsidR="00592CE3">
        <w:rPr>
          <w:u w:val="single"/>
        </w:rPr>
        <w:t xml:space="preserve"> </w:t>
      </w:r>
      <w:r w:rsidR="00C421E7">
        <w:rPr>
          <w:u w:val="single"/>
        </w:rPr>
        <w:t>kodas</w:t>
      </w:r>
      <w:r w:rsidR="00B1726E">
        <w:rPr>
          <w:u w:val="single"/>
        </w:rPr>
        <w:t>:</w:t>
      </w:r>
    </w:p>
    <w:p w:rsidR="00C27187" w:rsidRDefault="009F4EE5" w:rsidP="000F3ADD">
      <w:pPr>
        <w:ind w:firstLine="420"/>
      </w:pPr>
      <w:r w:rsidRPr="009F4EE5">
        <w:t>K</w:t>
      </w:r>
      <w:r w:rsidR="00D461F5" w:rsidRPr="009F4EE5">
        <w:t>reting</w:t>
      </w:r>
      <w:r w:rsidR="000F3ADD">
        <w:t>os rajono savivaldybės viešoji įstaiga</w:t>
      </w:r>
      <w:r w:rsidR="00D461F5" w:rsidRPr="009F4EE5">
        <w:t xml:space="preserve"> </w:t>
      </w:r>
      <w:r w:rsidRPr="009F4EE5">
        <w:t>K</w:t>
      </w:r>
      <w:r w:rsidR="00D461F5" w:rsidRPr="009F4EE5">
        <w:t>retingos pirm</w:t>
      </w:r>
      <w:r w:rsidR="000F3ADD">
        <w:t>inės sveikatos priežiūros centras</w:t>
      </w:r>
      <w:r w:rsidR="00D461F5" w:rsidRPr="009F4EE5">
        <w:t xml:space="preserve"> </w:t>
      </w:r>
      <w:r w:rsidR="008515C5">
        <w:t>(toliau tekste</w:t>
      </w:r>
      <w:r w:rsidR="00C421E7">
        <w:t xml:space="preserve"> – </w:t>
      </w:r>
      <w:r w:rsidR="008515C5">
        <w:t>KPSPC)</w:t>
      </w:r>
      <w:r w:rsidR="00C27187" w:rsidRPr="00C27187">
        <w:t>, Žemaitės al. 1, LT-97106</w:t>
      </w:r>
      <w:r w:rsidR="000F3ADD">
        <w:t>,</w:t>
      </w:r>
      <w:r w:rsidR="000F3ADD" w:rsidRPr="00C27187">
        <w:t xml:space="preserve"> Kretinga</w:t>
      </w:r>
      <w:r w:rsidR="00C27187" w:rsidRPr="00C27187">
        <w:t xml:space="preserve">, tel./faks.: </w:t>
      </w:r>
      <w:r w:rsidR="001753AF">
        <w:t>(</w:t>
      </w:r>
      <w:r w:rsidR="00C27187" w:rsidRPr="00C27187">
        <w:t>8</w:t>
      </w:r>
      <w:r w:rsidR="001753AF">
        <w:t xml:space="preserve"> </w:t>
      </w:r>
      <w:r w:rsidR="00C27187" w:rsidRPr="00C27187">
        <w:t>445</w:t>
      </w:r>
      <w:r w:rsidR="00427966">
        <w:t>) 77611, el. p.</w:t>
      </w:r>
      <w:r w:rsidR="00C27187" w:rsidRPr="00C27187">
        <w:t xml:space="preserve"> </w:t>
      </w:r>
      <w:hyperlink r:id="rId9" w:history="1">
        <w:r w:rsidR="001753AF" w:rsidRPr="006E7DFA">
          <w:rPr>
            <w:rStyle w:val="Hipersaitas"/>
          </w:rPr>
          <w:t>info@kretingospspc.lt</w:t>
        </w:r>
      </w:hyperlink>
      <w:r>
        <w:t>,</w:t>
      </w:r>
      <w:r w:rsidRPr="009F4EE5">
        <w:t xml:space="preserve"> </w:t>
      </w:r>
      <w:r>
        <w:t xml:space="preserve">kodas </w:t>
      </w:r>
      <w:r w:rsidRPr="00C62EC0">
        <w:rPr>
          <w:color w:val="000000"/>
        </w:rPr>
        <w:t>164272081</w:t>
      </w:r>
      <w:r>
        <w:rPr>
          <w:color w:val="000000"/>
        </w:rPr>
        <w:t>.</w:t>
      </w:r>
    </w:p>
    <w:p w:rsidR="00C27187" w:rsidRDefault="00C27187" w:rsidP="00C27187">
      <w:pPr>
        <w:jc w:val="both"/>
        <w:rPr>
          <w:rFonts w:eastAsia="MS Mincho"/>
          <w:lang w:val="en-US" w:eastAsia="ja-JP"/>
        </w:rPr>
      </w:pPr>
    </w:p>
    <w:p w:rsidR="001753AF" w:rsidRPr="00146F66" w:rsidRDefault="00C27187" w:rsidP="001753AF">
      <w:pPr>
        <w:jc w:val="both"/>
        <w:rPr>
          <w:rFonts w:eastAsia="MS Mincho"/>
          <w:lang w:eastAsia="ja-JP"/>
        </w:rPr>
      </w:pPr>
      <w:r w:rsidRPr="00146F66">
        <w:rPr>
          <w:rFonts w:eastAsia="MS Mincho" w:hint="eastAsia"/>
          <w:lang w:val="en-US" w:eastAsia="ja-JP"/>
        </w:rPr>
        <w:t>1.2</w:t>
      </w:r>
      <w:r w:rsidRPr="00146F66">
        <w:rPr>
          <w:rFonts w:eastAsia="MS Mincho" w:hint="eastAsia"/>
          <w:u w:val="single"/>
          <w:lang w:val="en-US" w:eastAsia="ja-JP"/>
        </w:rPr>
        <w:t xml:space="preserve">. </w:t>
      </w:r>
      <w:r w:rsidRPr="00146F66">
        <w:rPr>
          <w:rFonts w:eastAsia="MS Mincho"/>
          <w:u w:val="single"/>
          <w:lang w:eastAsia="ja-JP"/>
        </w:rPr>
        <w:t>Įstaigos vadova</w:t>
      </w:r>
      <w:r w:rsidR="008A77D3" w:rsidRPr="00146F66">
        <w:rPr>
          <w:rFonts w:eastAsia="MS Mincho"/>
          <w:u w:val="single"/>
          <w:lang w:eastAsia="ja-JP"/>
        </w:rPr>
        <w:t>s 2014</w:t>
      </w:r>
      <w:r w:rsidR="0023205C" w:rsidRPr="00146F66">
        <w:rPr>
          <w:rFonts w:eastAsia="MS Mincho"/>
          <w:u w:val="single"/>
          <w:lang w:eastAsia="ja-JP"/>
        </w:rPr>
        <w:t xml:space="preserve"> metais</w:t>
      </w:r>
      <w:r w:rsidR="00B1726E">
        <w:rPr>
          <w:rFonts w:eastAsia="MS Mincho"/>
          <w:u w:val="single"/>
          <w:lang w:eastAsia="ja-JP"/>
        </w:rPr>
        <w:t>:</w:t>
      </w:r>
      <w:r w:rsidRPr="00146F66">
        <w:rPr>
          <w:rFonts w:eastAsia="MS Mincho"/>
          <w:lang w:eastAsia="ja-JP"/>
        </w:rPr>
        <w:t xml:space="preserve"> </w:t>
      </w:r>
    </w:p>
    <w:p w:rsidR="00803B10" w:rsidRPr="001753AF" w:rsidRDefault="00146F66" w:rsidP="00427966">
      <w:pPr>
        <w:jc w:val="both"/>
        <w:rPr>
          <w:rFonts w:eastAsia="MS Mincho"/>
          <w:u w:val="single"/>
          <w:lang w:eastAsia="ja-JP"/>
        </w:rPr>
      </w:pPr>
      <w:r>
        <w:rPr>
          <w:b/>
        </w:rPr>
        <w:t xml:space="preserve">       </w:t>
      </w:r>
      <w:r w:rsidR="0069333B">
        <w:rPr>
          <w:b/>
        </w:rPr>
        <w:t>Vidmantas Jurgaitis nuo 2013-12-27.</w:t>
      </w:r>
    </w:p>
    <w:p w:rsidR="008F55AC" w:rsidRDefault="008F55AC" w:rsidP="008F55AC">
      <w:pPr>
        <w:ind w:left="142"/>
        <w:rPr>
          <w:b/>
        </w:rPr>
      </w:pPr>
    </w:p>
    <w:p w:rsidR="008F55AC" w:rsidRPr="00427966" w:rsidRDefault="008F55AC" w:rsidP="008F55AC">
      <w:pPr>
        <w:jc w:val="both"/>
        <w:rPr>
          <w:b/>
        </w:rPr>
      </w:pPr>
      <w:r w:rsidRPr="00427966">
        <w:rPr>
          <w:b/>
        </w:rPr>
        <w:t xml:space="preserve">2. Kretingos rajono savivaldybės </w:t>
      </w:r>
      <w:proofErr w:type="spellStart"/>
      <w:r w:rsidRPr="00427966">
        <w:rPr>
          <w:b/>
        </w:rPr>
        <w:t>VšĮ</w:t>
      </w:r>
      <w:proofErr w:type="spellEnd"/>
      <w:r w:rsidRPr="00427966">
        <w:rPr>
          <w:b/>
        </w:rPr>
        <w:t xml:space="preserve"> Kret</w:t>
      </w:r>
      <w:r w:rsidR="008A77D3" w:rsidRPr="00427966">
        <w:rPr>
          <w:b/>
        </w:rPr>
        <w:t>ingos PSPC siektinų veiklos 2014</w:t>
      </w:r>
      <w:r w:rsidRPr="00427966">
        <w:rPr>
          <w:b/>
        </w:rPr>
        <w:t xml:space="preserve"> m. užduočių, nustaty</w:t>
      </w:r>
      <w:r w:rsidR="008A77D3" w:rsidRPr="00427966">
        <w:rPr>
          <w:b/>
        </w:rPr>
        <w:t>tų Kretingos rajono tarybos 2014 m</w:t>
      </w:r>
      <w:r w:rsidR="00120F93">
        <w:rPr>
          <w:b/>
        </w:rPr>
        <w:t>.</w:t>
      </w:r>
      <w:r w:rsidR="008A77D3" w:rsidRPr="00427966">
        <w:rPr>
          <w:b/>
        </w:rPr>
        <w:t xml:space="preserve"> kovo mėn. 27 d. sprendimu T2-102</w:t>
      </w:r>
      <w:r w:rsidRPr="00427966">
        <w:rPr>
          <w:b/>
        </w:rPr>
        <w:t>, įvykdymas.</w:t>
      </w:r>
    </w:p>
    <w:p w:rsidR="006529E3" w:rsidRDefault="006529E3" w:rsidP="008F55AC">
      <w:pPr>
        <w:jc w:val="both"/>
      </w:pPr>
    </w:p>
    <w:p w:rsidR="006529E3" w:rsidRDefault="00D461F5" w:rsidP="006529E3">
      <w:pPr>
        <w:ind w:left="360"/>
        <w:rPr>
          <w:u w:val="single"/>
        </w:rPr>
      </w:pPr>
      <w:r>
        <w:rPr>
          <w:u w:val="single"/>
        </w:rPr>
        <w:t>2.1. Kiekybiniai rodikliai</w:t>
      </w:r>
      <w:r w:rsidR="006529E3">
        <w:rPr>
          <w:u w:val="single"/>
        </w:rPr>
        <w:t>:</w:t>
      </w:r>
    </w:p>
    <w:p w:rsidR="006529E3" w:rsidRDefault="006529E3" w:rsidP="006529E3">
      <w:pPr>
        <w:ind w:left="360"/>
        <w:rPr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468"/>
        <w:gridCol w:w="2470"/>
      </w:tblGrid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7804F2">
              <w:rPr>
                <w:rFonts w:eastAsia="Calibri"/>
                <w:b/>
                <w:sz w:val="22"/>
                <w:szCs w:val="22"/>
              </w:rPr>
              <w:t>Eil</w:t>
            </w:r>
            <w:proofErr w:type="spellEnd"/>
            <w:r w:rsidRPr="007804F2">
              <w:rPr>
                <w:rFonts w:eastAsia="Calibri"/>
                <w:b/>
                <w:sz w:val="22"/>
                <w:szCs w:val="22"/>
              </w:rPr>
              <w:t xml:space="preserve"> . Nr.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b/>
                <w:sz w:val="22"/>
                <w:szCs w:val="22"/>
              </w:rPr>
              <w:t>Pagrindinės veiklos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D461F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b/>
                <w:sz w:val="22"/>
                <w:szCs w:val="22"/>
              </w:rPr>
              <w:t xml:space="preserve">Suma </w:t>
            </w:r>
            <w:r w:rsidR="00867575">
              <w:rPr>
                <w:rFonts w:eastAsia="Calibri"/>
                <w:b/>
                <w:sz w:val="22"/>
                <w:szCs w:val="22"/>
              </w:rPr>
              <w:t>(</w:t>
            </w:r>
            <w:r w:rsidR="00D461F5">
              <w:rPr>
                <w:rFonts w:eastAsia="Calibri"/>
                <w:b/>
                <w:sz w:val="22"/>
                <w:szCs w:val="22"/>
              </w:rPr>
              <w:t>Lt)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Likutis 2014-01-01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1848431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TLK pajamos                                                         iš jų: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5810203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pajamos nuo prisirašiusių gyventojų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3345067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skatinamosios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320585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slaugos namuose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86738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GMP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1790500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protezavimo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92550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 xml:space="preserve">    prevencinės programos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172332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2.7.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1549D9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461F5">
              <w:rPr>
                <w:rFonts w:eastAsia="Calibri"/>
                <w:color w:val="C00000"/>
                <w:sz w:val="22"/>
                <w:szCs w:val="22"/>
              </w:rPr>
              <w:t xml:space="preserve">    </w:t>
            </w:r>
            <w:r w:rsidRPr="001549D9">
              <w:rPr>
                <w:rFonts w:eastAsia="Calibri"/>
                <w:sz w:val="22"/>
                <w:szCs w:val="22"/>
              </w:rPr>
              <w:t>KVP</w:t>
            </w:r>
            <w:r w:rsidR="001549D9">
              <w:rPr>
                <w:rFonts w:eastAsia="Calibri"/>
                <w:sz w:val="22"/>
                <w:szCs w:val="22"/>
              </w:rPr>
              <w:t xml:space="preserve"> (kompensuojamų vaistų pasų)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2431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D461F5" w:rsidRDefault="006529E3">
            <w:pPr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  <w:r w:rsidRPr="001549D9">
              <w:rPr>
                <w:rFonts w:eastAsia="Calibri"/>
                <w:sz w:val="22"/>
                <w:szCs w:val="22"/>
              </w:rPr>
              <w:t xml:space="preserve">Finansavimo </w:t>
            </w:r>
            <w:r w:rsidRPr="00867575">
              <w:rPr>
                <w:rFonts w:eastAsia="Calibri"/>
                <w:sz w:val="22"/>
                <w:szCs w:val="22"/>
              </w:rPr>
              <w:t>pajamos</w:t>
            </w:r>
            <w:r w:rsidR="00867575" w:rsidRPr="00867575">
              <w:rPr>
                <w:rFonts w:eastAsia="Calibri"/>
                <w:sz w:val="22"/>
                <w:szCs w:val="22"/>
              </w:rPr>
              <w:t xml:space="preserve"> </w:t>
            </w:r>
            <w:r w:rsidR="001549D9" w:rsidRPr="00867575">
              <w:rPr>
                <w:rFonts w:eastAsia="Calibri"/>
                <w:sz w:val="22"/>
                <w:szCs w:val="22"/>
              </w:rPr>
              <w:t>(nemokami medikamentai,</w:t>
            </w:r>
            <w:r w:rsidR="00867575">
              <w:rPr>
                <w:rFonts w:eastAsia="Calibri"/>
                <w:sz w:val="22"/>
                <w:szCs w:val="22"/>
              </w:rPr>
              <w:t xml:space="preserve"> </w:t>
            </w:r>
            <w:r w:rsidR="001549D9" w:rsidRPr="00867575">
              <w:rPr>
                <w:rFonts w:eastAsia="Calibri"/>
                <w:sz w:val="22"/>
                <w:szCs w:val="22"/>
              </w:rPr>
              <w:t>labdara)</w:t>
            </w:r>
            <w:r w:rsidR="001549D9" w:rsidRPr="00867575"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121030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Mokėtinos už paslaugas ir kitos pajamos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455431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Iš viso pajamų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6386664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b/>
                <w:sz w:val="22"/>
                <w:szCs w:val="22"/>
              </w:rPr>
              <w:t>Pagrindinės veiklos sąnaudos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D461F5" w:rsidP="007804F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>Suma</w:t>
            </w:r>
            <w:r w:rsidR="00867575">
              <w:rPr>
                <w:rFonts w:eastAsia="Calibri"/>
                <w:b/>
                <w:sz w:val="22"/>
                <w:szCs w:val="22"/>
              </w:rPr>
              <w:t xml:space="preserve"> (</w:t>
            </w:r>
            <w:r>
              <w:rPr>
                <w:rFonts w:eastAsia="Calibri"/>
                <w:b/>
                <w:sz w:val="22"/>
                <w:szCs w:val="22"/>
              </w:rPr>
              <w:t>Lt)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Darbo užmokesčio ir soc. draudimo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4767460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Nusidėvėjimo ir amortizacijos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159141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Komunalinių paslaugų ir ryšių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242353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Transporto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226166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Kvalifikacijos kėlimo ir komandiruočių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12070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Nurašytų ir sunaudotų atsargų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447780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Kitos paslaugos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453528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Iš viso sąnaudų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6308498</w:t>
            </w:r>
          </w:p>
        </w:tc>
      </w:tr>
      <w:tr w:rsidR="006529E3" w:rsidRPr="007804F2" w:rsidTr="007804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Likutis 2</w:t>
            </w:r>
            <w:r w:rsidR="00B1726E">
              <w:rPr>
                <w:rFonts w:eastAsia="Calibri"/>
                <w:sz w:val="22"/>
                <w:szCs w:val="22"/>
              </w:rPr>
              <w:t>015-01</w:t>
            </w:r>
            <w:r w:rsidRPr="007804F2">
              <w:rPr>
                <w:rFonts w:eastAsia="Calibri"/>
                <w:sz w:val="22"/>
                <w:szCs w:val="22"/>
              </w:rPr>
              <w:t>-01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29E3" w:rsidRPr="007804F2" w:rsidRDefault="006529E3" w:rsidP="007804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804F2">
              <w:rPr>
                <w:rFonts w:eastAsia="Calibri"/>
                <w:sz w:val="22"/>
                <w:szCs w:val="22"/>
              </w:rPr>
              <w:t>1926597</w:t>
            </w:r>
          </w:p>
        </w:tc>
      </w:tr>
    </w:tbl>
    <w:p w:rsidR="006529E3" w:rsidRDefault="006529E3" w:rsidP="006529E3">
      <w:pPr>
        <w:rPr>
          <w:sz w:val="22"/>
          <w:szCs w:val="22"/>
          <w:lang w:eastAsia="en-US"/>
        </w:rPr>
      </w:pPr>
    </w:p>
    <w:p w:rsidR="006529E3" w:rsidRDefault="006529E3" w:rsidP="006529E3">
      <w:r>
        <w:t xml:space="preserve">2.2. </w:t>
      </w:r>
      <w:r w:rsidRPr="00146F66">
        <w:rPr>
          <w:u w:val="single"/>
        </w:rPr>
        <w:t>Įstaigos sąnaudos darbo užmokesčiui</w:t>
      </w:r>
      <w:r>
        <w:t xml:space="preserve"> (neviršyti Steigėjo nustatyto 78 proc. darbo užmokesčio fondo normatyvo kartu su priskaitymais soc. draudimui nuo visų sąnaudų)</w:t>
      </w:r>
      <w:r w:rsidR="00867575">
        <w:t>:</w:t>
      </w:r>
    </w:p>
    <w:p w:rsidR="006529E3" w:rsidRPr="00867575" w:rsidRDefault="00867575" w:rsidP="00867575">
      <w:pPr>
        <w:pStyle w:val="Sraopastraip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p</w:t>
      </w:r>
      <w:r w:rsidR="006529E3" w:rsidRPr="00867575">
        <w:rPr>
          <w:rFonts w:ascii="Times New Roman" w:hAnsi="Times New Roman"/>
          <w:sz w:val="24"/>
          <w:szCs w:val="24"/>
        </w:rPr>
        <w:t>agrindin</w:t>
      </w:r>
      <w:r>
        <w:rPr>
          <w:rFonts w:ascii="Times New Roman" w:hAnsi="Times New Roman"/>
          <w:sz w:val="24"/>
          <w:szCs w:val="24"/>
        </w:rPr>
        <w:t xml:space="preserve">ės veiklos pajamos – </w:t>
      </w:r>
      <w:r w:rsidR="00D461F5" w:rsidRPr="00867575">
        <w:rPr>
          <w:rFonts w:ascii="Times New Roman" w:hAnsi="Times New Roman"/>
          <w:sz w:val="24"/>
          <w:szCs w:val="24"/>
        </w:rPr>
        <w:t>6386664</w:t>
      </w:r>
      <w:r>
        <w:rPr>
          <w:rFonts w:ascii="Times New Roman" w:hAnsi="Times New Roman"/>
          <w:sz w:val="24"/>
          <w:szCs w:val="24"/>
        </w:rPr>
        <w:t>,00</w:t>
      </w:r>
      <w:r w:rsidR="00D461F5" w:rsidRPr="00867575">
        <w:rPr>
          <w:rFonts w:ascii="Times New Roman" w:hAnsi="Times New Roman"/>
          <w:sz w:val="24"/>
          <w:szCs w:val="24"/>
        </w:rPr>
        <w:t xml:space="preserve"> Lt</w:t>
      </w:r>
      <w:r w:rsidR="006529E3" w:rsidRPr="00867575">
        <w:rPr>
          <w:rFonts w:ascii="Times New Roman" w:hAnsi="Times New Roman"/>
          <w:sz w:val="24"/>
          <w:szCs w:val="24"/>
        </w:rPr>
        <w:t>;</w:t>
      </w:r>
    </w:p>
    <w:p w:rsidR="006529E3" w:rsidRPr="00867575" w:rsidRDefault="00867575" w:rsidP="00867575">
      <w:pPr>
        <w:pStyle w:val="Sraopastraip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- v</w:t>
      </w:r>
      <w:r w:rsidR="006529E3" w:rsidRPr="00867575">
        <w:rPr>
          <w:rFonts w:ascii="Times New Roman" w:hAnsi="Times New Roman"/>
          <w:sz w:val="24"/>
          <w:szCs w:val="24"/>
        </w:rPr>
        <w:t>eiklos sąnaudos darbo užmokesčiui ir soc</w:t>
      </w:r>
      <w:r w:rsidR="00D461F5" w:rsidRPr="00867575">
        <w:rPr>
          <w:rFonts w:ascii="Times New Roman" w:hAnsi="Times New Roman"/>
          <w:sz w:val="24"/>
          <w:szCs w:val="24"/>
        </w:rPr>
        <w:t>ialiniam draudimui – 4767460</w:t>
      </w:r>
      <w:r>
        <w:rPr>
          <w:rFonts w:ascii="Times New Roman" w:hAnsi="Times New Roman"/>
          <w:sz w:val="24"/>
          <w:szCs w:val="24"/>
        </w:rPr>
        <w:t>,00</w:t>
      </w:r>
      <w:r w:rsidR="00D461F5" w:rsidRPr="00867575">
        <w:rPr>
          <w:rFonts w:ascii="Times New Roman" w:hAnsi="Times New Roman"/>
          <w:sz w:val="24"/>
          <w:szCs w:val="24"/>
        </w:rPr>
        <w:t xml:space="preserve"> Lt</w:t>
      </w:r>
      <w:r w:rsidR="006529E3" w:rsidRPr="00867575">
        <w:rPr>
          <w:rFonts w:ascii="Times New Roman" w:hAnsi="Times New Roman"/>
          <w:sz w:val="24"/>
          <w:szCs w:val="24"/>
        </w:rPr>
        <w:t>;</w:t>
      </w:r>
    </w:p>
    <w:p w:rsidR="006529E3" w:rsidRDefault="00867575" w:rsidP="00867575">
      <w:pPr>
        <w:pStyle w:val="Sraopastraipa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- d</w:t>
      </w:r>
      <w:r w:rsidR="006529E3" w:rsidRPr="00867575">
        <w:rPr>
          <w:rFonts w:ascii="Times New Roman" w:hAnsi="Times New Roman"/>
          <w:sz w:val="24"/>
          <w:szCs w:val="24"/>
        </w:rPr>
        <w:t>arbo užmokesčio fondas su priskaitymu soc. draudimui  – 75,6 proc</w:t>
      </w:r>
      <w:r w:rsidR="006529E3">
        <w:rPr>
          <w:rFonts w:ascii="Times New Roman" w:hAnsi="Times New Roman"/>
        </w:rPr>
        <w:t>.</w:t>
      </w:r>
      <w:r w:rsidR="006529E3">
        <w:rPr>
          <w:rFonts w:ascii="Times New Roman" w:hAnsi="Times New Roman"/>
        </w:rPr>
        <w:tab/>
      </w:r>
    </w:p>
    <w:p w:rsidR="006529E3" w:rsidRDefault="006529E3" w:rsidP="006529E3">
      <w:r>
        <w:t>2.</w:t>
      </w:r>
      <w:r w:rsidR="00867575">
        <w:t xml:space="preserve">3. </w:t>
      </w:r>
      <w:r w:rsidR="00867575" w:rsidRPr="00146F66">
        <w:rPr>
          <w:u w:val="single"/>
        </w:rPr>
        <w:t>Įstaigos sąnaudos valdymui</w:t>
      </w:r>
      <w:r w:rsidR="00867575">
        <w:t xml:space="preserve"> (</w:t>
      </w:r>
      <w:r>
        <w:t>neviršyti 5 proc. valdymo išlaidų nuo visų sąnaudų):</w:t>
      </w:r>
    </w:p>
    <w:p w:rsidR="006529E3" w:rsidRPr="00867575" w:rsidRDefault="00867575" w:rsidP="001549D9">
      <w:pPr>
        <w:pStyle w:val="Sraopastraip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p</w:t>
      </w:r>
      <w:r w:rsidR="006529E3" w:rsidRPr="00867575">
        <w:rPr>
          <w:rFonts w:ascii="Times New Roman" w:hAnsi="Times New Roman"/>
          <w:sz w:val="24"/>
          <w:szCs w:val="24"/>
        </w:rPr>
        <w:t>agrindinė</w:t>
      </w:r>
      <w:r w:rsidRPr="00867575">
        <w:rPr>
          <w:rFonts w:ascii="Times New Roman" w:hAnsi="Times New Roman"/>
          <w:sz w:val="24"/>
          <w:szCs w:val="24"/>
        </w:rPr>
        <w:t xml:space="preserve">s veiklos sąnaudos – </w:t>
      </w:r>
      <w:r w:rsidR="00D461F5" w:rsidRPr="00867575">
        <w:rPr>
          <w:rFonts w:ascii="Times New Roman" w:hAnsi="Times New Roman"/>
          <w:sz w:val="24"/>
          <w:szCs w:val="24"/>
        </w:rPr>
        <w:t>6308498</w:t>
      </w:r>
      <w:r>
        <w:rPr>
          <w:rFonts w:ascii="Times New Roman" w:hAnsi="Times New Roman"/>
          <w:sz w:val="24"/>
          <w:szCs w:val="24"/>
        </w:rPr>
        <w:t>,00</w:t>
      </w:r>
      <w:r w:rsidRPr="00867575">
        <w:rPr>
          <w:rFonts w:ascii="Times New Roman" w:hAnsi="Times New Roman"/>
          <w:sz w:val="24"/>
          <w:szCs w:val="24"/>
        </w:rPr>
        <w:t xml:space="preserve"> </w:t>
      </w:r>
      <w:r w:rsidR="00D461F5" w:rsidRPr="00867575">
        <w:rPr>
          <w:rFonts w:ascii="Times New Roman" w:hAnsi="Times New Roman"/>
          <w:sz w:val="24"/>
          <w:szCs w:val="24"/>
        </w:rPr>
        <w:t xml:space="preserve"> Lt</w:t>
      </w:r>
      <w:r w:rsidR="006529E3" w:rsidRPr="00867575">
        <w:rPr>
          <w:rFonts w:ascii="Times New Roman" w:hAnsi="Times New Roman"/>
          <w:sz w:val="24"/>
          <w:szCs w:val="24"/>
        </w:rPr>
        <w:t>;</w:t>
      </w:r>
    </w:p>
    <w:p w:rsidR="006529E3" w:rsidRPr="00867575" w:rsidRDefault="00867575" w:rsidP="001549D9">
      <w:pPr>
        <w:pStyle w:val="Sraopastraip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="006529E3" w:rsidRPr="00867575">
        <w:rPr>
          <w:rFonts w:ascii="Times New Roman" w:hAnsi="Times New Roman"/>
          <w:sz w:val="24"/>
          <w:szCs w:val="24"/>
        </w:rPr>
        <w:t>Įstaig</w:t>
      </w:r>
      <w:r w:rsidR="00D461F5" w:rsidRPr="00867575">
        <w:rPr>
          <w:rFonts w:ascii="Times New Roman" w:hAnsi="Times New Roman"/>
          <w:sz w:val="24"/>
          <w:szCs w:val="24"/>
        </w:rPr>
        <w:t>os valdymo išlaidos – 226638</w:t>
      </w:r>
      <w:r w:rsidR="001F7C03">
        <w:rPr>
          <w:rFonts w:ascii="Times New Roman" w:hAnsi="Times New Roman"/>
          <w:sz w:val="24"/>
          <w:szCs w:val="24"/>
        </w:rPr>
        <w:t>,00</w:t>
      </w:r>
      <w:r w:rsidR="00D461F5" w:rsidRPr="00867575">
        <w:rPr>
          <w:rFonts w:ascii="Times New Roman" w:hAnsi="Times New Roman"/>
          <w:sz w:val="24"/>
          <w:szCs w:val="24"/>
        </w:rPr>
        <w:t xml:space="preserve"> Lt</w:t>
      </w:r>
      <w:r w:rsidR="006529E3" w:rsidRPr="00867575">
        <w:rPr>
          <w:rFonts w:ascii="Times New Roman" w:hAnsi="Times New Roman"/>
          <w:sz w:val="24"/>
          <w:szCs w:val="24"/>
        </w:rPr>
        <w:t>;</w:t>
      </w:r>
    </w:p>
    <w:p w:rsidR="006529E3" w:rsidRPr="00867575" w:rsidRDefault="00867575" w:rsidP="001549D9">
      <w:pPr>
        <w:pStyle w:val="Sraopastraip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</w:t>
      </w:r>
      <w:r w:rsidR="006529E3" w:rsidRPr="00867575">
        <w:rPr>
          <w:rFonts w:ascii="Times New Roman" w:hAnsi="Times New Roman"/>
          <w:sz w:val="24"/>
          <w:szCs w:val="24"/>
        </w:rPr>
        <w:t>Įstaigos valdymo išlaidos procentine išraiška – 3,6 proc.</w:t>
      </w:r>
    </w:p>
    <w:p w:rsidR="001F7C03" w:rsidRDefault="006529E3" w:rsidP="001F7C03">
      <w:pPr>
        <w:spacing w:before="240"/>
      </w:pPr>
      <w:r>
        <w:t xml:space="preserve">2.4. </w:t>
      </w:r>
      <w:r w:rsidRPr="00146F66">
        <w:rPr>
          <w:u w:val="single"/>
        </w:rPr>
        <w:t>Papildomi finansavimo šaltiniai</w:t>
      </w:r>
      <w:r>
        <w:t xml:space="preserve"> (pritraukti kuo daugiau finansavimo šaltinių </w:t>
      </w:r>
      <w:r w:rsidR="008D6A17">
        <w:t>paramos)</w:t>
      </w:r>
      <w:r w:rsidR="00CA3AE5">
        <w:t>.</w:t>
      </w:r>
      <w:r w:rsidR="00867575">
        <w:t xml:space="preserve"> </w:t>
      </w:r>
    </w:p>
    <w:p w:rsidR="006529E3" w:rsidRPr="00867575" w:rsidRDefault="001F7C03" w:rsidP="001F7C03">
      <w:pPr>
        <w:spacing w:before="240"/>
      </w:pPr>
      <w:r>
        <w:t xml:space="preserve">        </w:t>
      </w:r>
      <w:r w:rsidR="00D461F5" w:rsidRPr="00867575">
        <w:t>2014 m.  gauti 69673</w:t>
      </w:r>
      <w:r w:rsidR="00867575">
        <w:t>,00</w:t>
      </w:r>
      <w:r w:rsidR="00D461F5" w:rsidRPr="00867575">
        <w:t xml:space="preserve"> Lt</w:t>
      </w:r>
      <w:r w:rsidR="006529E3" w:rsidRPr="00867575">
        <w:t xml:space="preserve"> (medikamentai, vakcinos, lėšos už mokinių sveikatos priežiūrą, 2 </w:t>
      </w:r>
      <w:r w:rsidR="00146F66">
        <w:t>proc. gyventojų pajamų mokesčio</w:t>
      </w:r>
      <w:r w:rsidR="006529E3" w:rsidRPr="00867575">
        <w:t>).</w:t>
      </w:r>
    </w:p>
    <w:p w:rsidR="00803B10" w:rsidRPr="008A7F68" w:rsidRDefault="000928FE" w:rsidP="001F7C03">
      <w:pPr>
        <w:rPr>
          <w:color w:val="FF0000"/>
        </w:rPr>
      </w:pPr>
      <w:r>
        <w:t xml:space="preserve">            </w:t>
      </w:r>
    </w:p>
    <w:p w:rsidR="00803B10" w:rsidRPr="00146F66" w:rsidRDefault="00153C46" w:rsidP="001753AF">
      <w:pPr>
        <w:jc w:val="both"/>
      </w:pPr>
      <w:r w:rsidRPr="00146F66">
        <w:t>2</w:t>
      </w:r>
      <w:r w:rsidR="00803B10" w:rsidRPr="00146F66">
        <w:t xml:space="preserve">.5. </w:t>
      </w:r>
      <w:r w:rsidR="00803B10" w:rsidRPr="00146F66">
        <w:rPr>
          <w:u w:val="single"/>
        </w:rPr>
        <w:t>Įstaigos teikiamų paslaugų lygis ir pacientų skundai</w:t>
      </w:r>
      <w:r w:rsidR="00803B10" w:rsidRPr="00146F66">
        <w:t xml:space="preserve"> (</w:t>
      </w:r>
      <w:r w:rsidR="00146F66" w:rsidRPr="00146F66">
        <w:t>siekti gaunamų skundų mažėjimo).</w:t>
      </w:r>
    </w:p>
    <w:p w:rsidR="005E3BD3" w:rsidRDefault="005E3BD3" w:rsidP="001549D9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</w:t>
      </w:r>
    </w:p>
    <w:p w:rsidR="001549D9" w:rsidRPr="005E3BD3" w:rsidRDefault="001549D9" w:rsidP="001549D9">
      <w:pPr>
        <w:jc w:val="both"/>
        <w:rPr>
          <w:rFonts w:eastAsia="Times New Roman"/>
          <w:b/>
        </w:rPr>
      </w:pPr>
      <w:r w:rsidRPr="00146F66">
        <w:rPr>
          <w:rFonts w:eastAsia="Times New Roman"/>
          <w:b/>
        </w:rPr>
        <w:t>Pacientų apklausų dėl pasitenkinimo teikiamomis paslaugomis  rezultatai</w:t>
      </w:r>
      <w:r w:rsidRPr="00146F66">
        <w:rPr>
          <w:rFonts w:eastAsia="Times New Roman"/>
        </w:rPr>
        <w:t>.</w:t>
      </w:r>
    </w:p>
    <w:p w:rsidR="00E50F6C" w:rsidRPr="007B77EF" w:rsidRDefault="00146F66" w:rsidP="00E50F6C">
      <w:pPr>
        <w:jc w:val="both"/>
        <w:rPr>
          <w:rFonts w:eastAsia="Lucida Sans Unicode"/>
        </w:rPr>
      </w:pPr>
      <w:r>
        <w:rPr>
          <w:rFonts w:eastAsia="Times New Roman"/>
        </w:rPr>
        <w:t xml:space="preserve">      </w:t>
      </w:r>
      <w:r w:rsidR="00E50F6C" w:rsidRPr="00146F66">
        <w:rPr>
          <w:rFonts w:eastAsia="Times New Roman"/>
        </w:rPr>
        <w:t xml:space="preserve"> 2014 m. vasario 10-21 dienomis atlikta anketinė pacientų apklausa </w:t>
      </w:r>
      <w:proofErr w:type="spellStart"/>
      <w:r w:rsidR="00E50F6C" w:rsidRPr="00146F66">
        <w:rPr>
          <w:rFonts w:eastAsia="Times New Roman"/>
        </w:rPr>
        <w:t>VšĮ</w:t>
      </w:r>
      <w:proofErr w:type="spellEnd"/>
      <w:r w:rsidR="00E50F6C" w:rsidRPr="00146F66">
        <w:rPr>
          <w:rFonts w:eastAsia="Times New Roman"/>
        </w:rPr>
        <w:t xml:space="preserve"> Kretingos PSPC, Darbėnų bei Vydmantų ambulatorijose. Buvo išplatinta 240 anketų. Duomenų apdorojimas vyko kovo 3-5 dienomis. </w:t>
      </w:r>
      <w:r w:rsidR="00E50F6C" w:rsidRPr="007B77EF">
        <w:rPr>
          <w:rFonts w:eastAsia="Lucida Sans Unicode"/>
        </w:rPr>
        <w:t>Tyrimui naudota struktūrizuota anketinė apklausa, kurią sudaro klausimai a</w:t>
      </w:r>
      <w:r w:rsidRPr="007B77EF">
        <w:rPr>
          <w:rFonts w:eastAsia="Lucida Sans Unicode"/>
        </w:rPr>
        <w:t>pie demografinius duomenis</w:t>
      </w:r>
      <w:r w:rsidR="00E50F6C" w:rsidRPr="007B77EF">
        <w:rPr>
          <w:rFonts w:eastAsia="Lucida Sans Unicode"/>
        </w:rPr>
        <w:t xml:space="preserve"> ir klausimai, kurie padėjo įvertinti įstaigos aptarnav</w:t>
      </w:r>
      <w:r w:rsidRPr="007B77EF">
        <w:rPr>
          <w:rFonts w:eastAsia="Lucida Sans Unicode"/>
        </w:rPr>
        <w:t>imo savalaikiškumą, operatyvumą</w:t>
      </w:r>
      <w:r w:rsidR="00E50F6C" w:rsidRPr="007B77EF">
        <w:rPr>
          <w:rFonts w:eastAsia="Lucida Sans Unicode"/>
        </w:rPr>
        <w:t xml:space="preserve"> bei konsultacijų ir procedūrų trukmę, siekiant įvertinti </w:t>
      </w:r>
      <w:r w:rsidRPr="007B77EF">
        <w:rPr>
          <w:rFonts w:eastAsia="Lucida Sans Unicode"/>
        </w:rPr>
        <w:t>įstaigos darbuotojų</w:t>
      </w:r>
      <w:r w:rsidR="00E50F6C" w:rsidRPr="007B77EF">
        <w:rPr>
          <w:rFonts w:eastAsia="Lucida Sans Unicode"/>
        </w:rPr>
        <w:t xml:space="preserve"> </w:t>
      </w:r>
      <w:r w:rsidR="001F7C03" w:rsidRPr="007B77EF">
        <w:rPr>
          <w:rFonts w:eastAsia="Lucida Sans Unicode"/>
        </w:rPr>
        <w:t xml:space="preserve">pacientams </w:t>
      </w:r>
      <w:r w:rsidRPr="007B77EF">
        <w:rPr>
          <w:rFonts w:eastAsia="Lucida Sans Unicode"/>
        </w:rPr>
        <w:t xml:space="preserve">skiriamą </w:t>
      </w:r>
      <w:r w:rsidR="00E50F6C" w:rsidRPr="007B77EF">
        <w:rPr>
          <w:rFonts w:eastAsia="Lucida Sans Unicode"/>
        </w:rPr>
        <w:t>dėmesį ir atidumą.</w:t>
      </w:r>
    </w:p>
    <w:p w:rsidR="00E50F6C" w:rsidRPr="00146F66" w:rsidRDefault="001F7C03" w:rsidP="00E50F6C">
      <w:pPr>
        <w:jc w:val="both"/>
        <w:rPr>
          <w:rFonts w:eastAsia="Lucida Sans Unicode"/>
          <w:lang w:val="en-US"/>
        </w:rPr>
      </w:pPr>
      <w:proofErr w:type="spellStart"/>
      <w:proofErr w:type="gramStart"/>
      <w:r>
        <w:rPr>
          <w:rFonts w:eastAsia="Lucida Sans Unicode"/>
          <w:b/>
          <w:lang w:val="en-US"/>
        </w:rPr>
        <w:t>R</w:t>
      </w:r>
      <w:r w:rsidRPr="00146F66">
        <w:rPr>
          <w:rFonts w:eastAsia="Lucida Sans Unicode"/>
          <w:b/>
          <w:lang w:val="en-US"/>
        </w:rPr>
        <w:t>ezultatai</w:t>
      </w:r>
      <w:proofErr w:type="spellEnd"/>
      <w:r>
        <w:rPr>
          <w:rFonts w:eastAsia="Lucida Sans Unicode"/>
          <w:b/>
          <w:lang w:val="en-US"/>
        </w:rPr>
        <w:t xml:space="preserve">, </w:t>
      </w:r>
      <w:proofErr w:type="spellStart"/>
      <w:r>
        <w:rPr>
          <w:rFonts w:eastAsia="Lucida Sans Unicode"/>
          <w:b/>
          <w:lang w:val="en-US"/>
        </w:rPr>
        <w:t>gauti</w:t>
      </w:r>
      <w:proofErr w:type="spellEnd"/>
      <w:r w:rsidRPr="00146F66">
        <w:rPr>
          <w:rFonts w:eastAsia="Lucida Sans Unicode"/>
          <w:b/>
          <w:lang w:val="en-US"/>
        </w:rPr>
        <w:t xml:space="preserve"> </w:t>
      </w:r>
      <w:proofErr w:type="spellStart"/>
      <w:r>
        <w:rPr>
          <w:rFonts w:eastAsia="Lucida Sans Unicode"/>
          <w:b/>
          <w:lang w:val="en-US"/>
        </w:rPr>
        <w:t>a</w:t>
      </w:r>
      <w:r w:rsidR="00E50F6C" w:rsidRPr="00146F66">
        <w:rPr>
          <w:rFonts w:eastAsia="Lucida Sans Unicode"/>
          <w:b/>
          <w:lang w:val="en-US"/>
        </w:rPr>
        <w:t>pibendrinus</w:t>
      </w:r>
      <w:proofErr w:type="spellEnd"/>
      <w:r w:rsidR="00E50F6C" w:rsidRPr="00146F66">
        <w:rPr>
          <w:rFonts w:eastAsia="Lucida Sans Unicode"/>
          <w:b/>
          <w:lang w:val="en-US"/>
        </w:rPr>
        <w:t xml:space="preserve"> </w:t>
      </w:r>
      <w:proofErr w:type="spellStart"/>
      <w:r w:rsidR="00E50F6C" w:rsidRPr="00146F66">
        <w:rPr>
          <w:rFonts w:eastAsia="Lucida Sans Unicode"/>
          <w:b/>
          <w:lang w:val="en-US"/>
        </w:rPr>
        <w:t>Vydmantų</w:t>
      </w:r>
      <w:proofErr w:type="spellEnd"/>
      <w:r w:rsidR="00E50F6C" w:rsidRPr="00146F66">
        <w:rPr>
          <w:rFonts w:eastAsia="Lucida Sans Unicode"/>
          <w:b/>
          <w:lang w:val="en-US"/>
        </w:rPr>
        <w:t xml:space="preserve"> </w:t>
      </w:r>
      <w:proofErr w:type="spellStart"/>
      <w:r w:rsidR="00E50F6C" w:rsidRPr="00146F66">
        <w:rPr>
          <w:rFonts w:eastAsia="Lucida Sans Unicode"/>
          <w:b/>
          <w:lang w:val="en-US"/>
        </w:rPr>
        <w:t>ambulatorijos</w:t>
      </w:r>
      <w:proofErr w:type="spellEnd"/>
      <w:r w:rsidR="00E50F6C" w:rsidRPr="00146F66">
        <w:rPr>
          <w:rFonts w:eastAsia="Lucida Sans Unicode"/>
          <w:b/>
          <w:lang w:val="en-US"/>
        </w:rPr>
        <w:t xml:space="preserve"> </w:t>
      </w:r>
      <w:proofErr w:type="spellStart"/>
      <w:r w:rsidR="00E50F6C" w:rsidRPr="00146F66">
        <w:rPr>
          <w:rFonts w:eastAsia="Lucida Sans Unicode"/>
          <w:b/>
          <w:lang w:val="en-US"/>
        </w:rPr>
        <w:t>pacientų</w:t>
      </w:r>
      <w:proofErr w:type="spellEnd"/>
      <w:r w:rsidR="00E50F6C" w:rsidRPr="00146F66">
        <w:rPr>
          <w:rFonts w:eastAsia="Lucida Sans Unicode"/>
          <w:b/>
          <w:lang w:val="en-US"/>
        </w:rPr>
        <w:t xml:space="preserve"> </w:t>
      </w:r>
      <w:proofErr w:type="spellStart"/>
      <w:r w:rsidR="00E50F6C" w:rsidRPr="00146F66">
        <w:rPr>
          <w:rFonts w:eastAsia="Lucida Sans Unicode"/>
          <w:b/>
          <w:lang w:val="en-US"/>
        </w:rPr>
        <w:t>an</w:t>
      </w:r>
      <w:r>
        <w:rPr>
          <w:rFonts w:eastAsia="Lucida Sans Unicode"/>
          <w:b/>
          <w:lang w:val="en-US"/>
        </w:rPr>
        <w:t>ketinę</w:t>
      </w:r>
      <w:proofErr w:type="spellEnd"/>
      <w:r>
        <w:rPr>
          <w:rFonts w:eastAsia="Lucida Sans Unicode"/>
          <w:b/>
          <w:lang w:val="en-US"/>
        </w:rPr>
        <w:t xml:space="preserve"> </w:t>
      </w:r>
      <w:proofErr w:type="spellStart"/>
      <w:r>
        <w:rPr>
          <w:rFonts w:eastAsia="Lucida Sans Unicode"/>
          <w:b/>
          <w:lang w:val="en-US"/>
        </w:rPr>
        <w:t>apklausą</w:t>
      </w:r>
      <w:proofErr w:type="spellEnd"/>
      <w:r>
        <w:rPr>
          <w:rFonts w:eastAsia="Lucida Sans Unicode"/>
          <w:b/>
          <w:lang w:val="en-US"/>
        </w:rPr>
        <w:t>.</w:t>
      </w:r>
      <w:proofErr w:type="gramEnd"/>
    </w:p>
    <w:p w:rsidR="00E50F6C" w:rsidRPr="00146F66" w:rsidRDefault="00146F66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E50F6C" w:rsidRPr="00146F66">
        <w:rPr>
          <w:rFonts w:eastAsia="Calibri"/>
          <w:lang w:eastAsia="en-US"/>
        </w:rPr>
        <w:t>Apkla</w:t>
      </w:r>
      <w:r>
        <w:rPr>
          <w:rFonts w:eastAsia="Calibri"/>
          <w:lang w:eastAsia="en-US"/>
        </w:rPr>
        <w:t>usoje dalyvavo 46,8 proc. 50-59 metų amžiaus respondentų</w:t>
      </w:r>
      <w:r w:rsidR="00E50F6C" w:rsidRPr="00146F66">
        <w:rPr>
          <w:rFonts w:eastAsia="Calibri"/>
          <w:lang w:eastAsia="en-US"/>
        </w:rPr>
        <w:t>, 86,7 proc. nur</w:t>
      </w:r>
      <w:r w:rsidR="001F7C03">
        <w:rPr>
          <w:rFonts w:eastAsia="Calibri"/>
          <w:lang w:eastAsia="en-US"/>
        </w:rPr>
        <w:t xml:space="preserve">odė gyvenantys kaime, 80 proc. </w:t>
      </w:r>
      <w:r w:rsidR="00E50F6C" w:rsidRPr="00146F66">
        <w:rPr>
          <w:rFonts w:eastAsia="Calibri"/>
          <w:lang w:eastAsia="en-US"/>
        </w:rPr>
        <w:t>s</w:t>
      </w:r>
      <w:r w:rsidR="001F7C03">
        <w:rPr>
          <w:rFonts w:eastAsia="Calibri"/>
          <w:lang w:eastAsia="en-US"/>
        </w:rPr>
        <w:t>udarė</w:t>
      </w:r>
      <w:r w:rsidR="00E50F6C" w:rsidRPr="00146F66">
        <w:rPr>
          <w:rFonts w:eastAsia="Calibri"/>
          <w:lang w:eastAsia="en-US"/>
        </w:rPr>
        <w:t xml:space="preserve"> moterys. Apklausoje  dalyvavo  66,7</w:t>
      </w:r>
      <w:r w:rsidR="001F7C03">
        <w:rPr>
          <w:rFonts w:eastAsia="Arial Unicode MS"/>
          <w:lang w:eastAsia="en-US"/>
        </w:rPr>
        <w:t xml:space="preserve"> proc. asmenų,  įgijusių</w:t>
      </w:r>
      <w:r w:rsidR="00E50F6C" w:rsidRPr="00146F66">
        <w:rPr>
          <w:rFonts w:eastAsia="Arial Unicode MS"/>
          <w:lang w:eastAsia="en-US"/>
        </w:rPr>
        <w:t xml:space="preserve">  vidurinį  arba  specia</w:t>
      </w:r>
      <w:r w:rsidR="001F7C03">
        <w:rPr>
          <w:rFonts w:eastAsia="Arial Unicode MS"/>
          <w:lang w:eastAsia="en-US"/>
        </w:rPr>
        <w:t>lųjį  vidurinį išsilavinimą, bei</w:t>
      </w:r>
      <w:r w:rsidR="00E50F6C" w:rsidRPr="00146F66">
        <w:rPr>
          <w:rFonts w:eastAsia="Arial Unicode MS"/>
          <w:lang w:eastAsia="en-US"/>
        </w:rPr>
        <w:t xml:space="preserve"> 33,3</w:t>
      </w:r>
      <w:r w:rsidR="00E50F6C" w:rsidRPr="00146F66">
        <w:rPr>
          <w:rFonts w:eastAsia="Calibri"/>
          <w:lang w:eastAsia="en-US"/>
        </w:rPr>
        <w:t xml:space="preserve"> proc. nurodė esantys darbininkai, techniniai darbuotojai, specialistai bei tarnautojai. </w:t>
      </w:r>
    </w:p>
    <w:p w:rsidR="00E50F6C" w:rsidRPr="00146F66" w:rsidRDefault="00E50F6C" w:rsidP="00E50F6C">
      <w:pPr>
        <w:jc w:val="both"/>
        <w:rPr>
          <w:rFonts w:eastAsia="Calibri"/>
          <w:lang w:eastAsia="en-US"/>
        </w:rPr>
      </w:pPr>
      <w:r w:rsidRPr="00146F66">
        <w:rPr>
          <w:rFonts w:eastAsia="Calibri"/>
          <w:lang w:eastAsia="en-US"/>
        </w:rPr>
        <w:t xml:space="preserve">         Respondentai nenurodė problemų dėl laiko, sugaišto laukiant prie šeimos gydytojo kabineto. Pacientams prie gydytojo </w:t>
      </w:r>
      <w:proofErr w:type="spellStart"/>
      <w:r w:rsidRPr="00146F66">
        <w:rPr>
          <w:rFonts w:eastAsia="Calibri"/>
          <w:lang w:eastAsia="en-US"/>
        </w:rPr>
        <w:t>odontologo</w:t>
      </w:r>
      <w:proofErr w:type="spellEnd"/>
      <w:r w:rsidRPr="00146F66">
        <w:rPr>
          <w:rFonts w:eastAsia="Calibri"/>
          <w:lang w:eastAsia="en-US"/>
        </w:rPr>
        <w:t xml:space="preserve"> kabineto laukti tenka, bet nemano, kad ilgai. Šeimos gydytojas paciento konsultacijai vidutiniškai  skiria apie 30 min. 66,7  proc. pacientų prie procedūrų kabineto sugaišta trumpiau nei 10 min. Gydytojo </w:t>
      </w:r>
      <w:proofErr w:type="spellStart"/>
      <w:r w:rsidRPr="00146F66">
        <w:rPr>
          <w:rFonts w:eastAsia="Calibri"/>
          <w:lang w:eastAsia="en-US"/>
        </w:rPr>
        <w:t>odontologo</w:t>
      </w:r>
      <w:proofErr w:type="spellEnd"/>
      <w:r w:rsidRPr="00146F66">
        <w:rPr>
          <w:rFonts w:eastAsia="Calibri"/>
          <w:lang w:eastAsia="en-US"/>
        </w:rPr>
        <w:t xml:space="preserve"> konsultacija užtrunka nuo 10 iki 30 min. </w:t>
      </w:r>
    </w:p>
    <w:p w:rsidR="00E50F6C" w:rsidRPr="005E3BD3" w:rsidRDefault="00E50F6C" w:rsidP="00E50F6C">
      <w:pPr>
        <w:jc w:val="both"/>
        <w:rPr>
          <w:rFonts w:eastAsia="Calibri"/>
          <w:lang w:eastAsia="en-US"/>
        </w:rPr>
      </w:pPr>
      <w:r w:rsidRPr="00146F66">
        <w:rPr>
          <w:rFonts w:eastAsia="Calibri"/>
          <w:lang w:eastAsia="en-US"/>
        </w:rPr>
        <w:t xml:space="preserve">        Respondentai teigiamai vertina šeimos gydytoją (93,3 proc.) ir su šeimos gydytoju dirbantį slaugytoją (93,3 proc.). Nepalankiai buvo įvertintas gyd</w:t>
      </w:r>
      <w:r w:rsidR="005E3BD3">
        <w:rPr>
          <w:rFonts w:eastAsia="Calibri"/>
          <w:lang w:eastAsia="en-US"/>
        </w:rPr>
        <w:t xml:space="preserve">ytojas </w:t>
      </w:r>
      <w:proofErr w:type="spellStart"/>
      <w:r w:rsidR="005E3BD3">
        <w:rPr>
          <w:rFonts w:eastAsia="Calibri"/>
          <w:lang w:eastAsia="en-US"/>
        </w:rPr>
        <w:t>odontologas</w:t>
      </w:r>
      <w:proofErr w:type="spellEnd"/>
      <w:r w:rsidR="005E3BD3">
        <w:rPr>
          <w:rFonts w:eastAsia="Calibri"/>
          <w:lang w:eastAsia="en-US"/>
        </w:rPr>
        <w:t xml:space="preserve"> (13,3 </w:t>
      </w:r>
      <w:proofErr w:type="spellStart"/>
      <w:r w:rsidR="005E3BD3">
        <w:rPr>
          <w:rFonts w:eastAsia="Calibri"/>
          <w:lang w:eastAsia="en-US"/>
        </w:rPr>
        <w:t>proc</w:t>
      </w:r>
      <w:proofErr w:type="spellEnd"/>
      <w:r w:rsidR="005E3BD3">
        <w:rPr>
          <w:rFonts w:eastAsia="Calibri"/>
          <w:lang w:eastAsia="en-US"/>
        </w:rPr>
        <w:t>).</w:t>
      </w:r>
      <w:r w:rsidR="003B1988">
        <w:rPr>
          <w:rFonts w:eastAsia="Calibri"/>
          <w:lang w:eastAsia="en-US"/>
        </w:rPr>
        <w:t xml:space="preserve"> </w:t>
      </w:r>
      <w:r w:rsidR="006A0F10">
        <w:rPr>
          <w:rFonts w:eastAsia="Calibri"/>
          <w:lang w:eastAsia="en-US"/>
        </w:rPr>
        <w:t xml:space="preserve">      </w:t>
      </w:r>
      <w:r w:rsidR="003B1988" w:rsidRPr="007B77EF">
        <w:rPr>
          <w:rFonts w:eastAsia="Lucida Sans Unicode"/>
          <w:b/>
        </w:rPr>
        <w:t xml:space="preserve"> Darbėnų ambulatorijos pacientų an</w:t>
      </w:r>
      <w:r w:rsidR="006A0F10" w:rsidRPr="007B77EF">
        <w:rPr>
          <w:rFonts w:eastAsia="Lucida Sans Unicode"/>
          <w:b/>
        </w:rPr>
        <w:t>ketinė</w:t>
      </w:r>
      <w:r w:rsidR="009208CB">
        <w:rPr>
          <w:rFonts w:eastAsia="Lucida Sans Unicode"/>
          <w:b/>
        </w:rPr>
        <w:t>s</w:t>
      </w:r>
      <w:r w:rsidR="006A0F10" w:rsidRPr="007B77EF">
        <w:rPr>
          <w:rFonts w:eastAsia="Lucida Sans Unicode"/>
          <w:b/>
        </w:rPr>
        <w:t xml:space="preserve"> apklausos rezultatai</w:t>
      </w:r>
      <w:r w:rsidR="003B1988" w:rsidRPr="007B77EF">
        <w:rPr>
          <w:rFonts w:eastAsia="Lucida Sans Unicode"/>
          <w:b/>
        </w:rPr>
        <w:t>.</w:t>
      </w:r>
    </w:p>
    <w:p w:rsidR="00E50F6C" w:rsidRPr="00146F66" w:rsidRDefault="003B1988" w:rsidP="00E50F6C">
      <w:pPr>
        <w:jc w:val="both"/>
        <w:rPr>
          <w:rFonts w:eastAsia="Arial Unicode MS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E50F6C" w:rsidRPr="00146F66">
        <w:rPr>
          <w:rFonts w:eastAsia="Calibri"/>
          <w:lang w:eastAsia="en-US"/>
        </w:rPr>
        <w:t>Anketinėje apkl</w:t>
      </w:r>
      <w:r>
        <w:rPr>
          <w:rFonts w:eastAsia="Calibri"/>
          <w:lang w:eastAsia="en-US"/>
        </w:rPr>
        <w:t>ausoje dalyvavo 31,2 proc. 40-49 metų amžiaus respondentų</w:t>
      </w:r>
      <w:r w:rsidR="00E50F6C" w:rsidRPr="00146F66">
        <w:rPr>
          <w:rFonts w:eastAsia="Calibri"/>
          <w:lang w:eastAsia="en-US"/>
        </w:rPr>
        <w:t>, 81,2  proc. nurodė gyvenantys kaime, 75 proc. sudarė moterys. Apklausoje dalyvavo  65,6</w:t>
      </w:r>
      <w:r>
        <w:rPr>
          <w:rFonts w:eastAsia="Arial Unicode MS"/>
          <w:lang w:eastAsia="en-US"/>
        </w:rPr>
        <w:t xml:space="preserve"> proc. asmenų, įgijusių</w:t>
      </w:r>
      <w:r w:rsidR="005C5BD9">
        <w:rPr>
          <w:rFonts w:eastAsia="Arial Unicode MS"/>
          <w:lang w:eastAsia="en-US"/>
        </w:rPr>
        <w:t xml:space="preserve"> vidurinį arba specialųjį</w:t>
      </w:r>
      <w:r w:rsidR="00E50F6C" w:rsidRPr="00146F66">
        <w:rPr>
          <w:rFonts w:eastAsia="Arial Unicode MS"/>
          <w:lang w:eastAsia="en-US"/>
        </w:rPr>
        <w:t xml:space="preserve"> vidurinį išsilavinimą, bei 43,8</w:t>
      </w:r>
      <w:r w:rsidR="00E50F6C" w:rsidRPr="00146F66">
        <w:rPr>
          <w:rFonts w:eastAsia="Calibri"/>
          <w:lang w:eastAsia="en-US"/>
        </w:rPr>
        <w:t xml:space="preserve">  proc. nurodė esantys darbininkai bei techniniai darbuotojai.</w:t>
      </w:r>
    </w:p>
    <w:p w:rsidR="00E50F6C" w:rsidRPr="00146F66" w:rsidRDefault="003B1988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Respondentai nenurodė</w:t>
      </w:r>
      <w:r w:rsidR="00E50F6C" w:rsidRPr="00146F66">
        <w:rPr>
          <w:rFonts w:eastAsia="Calibri"/>
          <w:lang w:eastAsia="en-US"/>
        </w:rPr>
        <w:t xml:space="preserve"> problemų dėl laiko</w:t>
      </w:r>
      <w:r>
        <w:rPr>
          <w:rFonts w:eastAsia="Calibri"/>
          <w:lang w:eastAsia="en-US"/>
        </w:rPr>
        <w:t>,</w:t>
      </w:r>
      <w:r w:rsidR="00E50F6C" w:rsidRPr="00146F66">
        <w:rPr>
          <w:rFonts w:eastAsia="Calibri"/>
          <w:lang w:eastAsia="en-US"/>
        </w:rPr>
        <w:t xml:space="preserve"> sugaišto prie registratūros (90,74  proc.),  prie šeimos gydytojo kabineto ( 93,8  proc.)   ir pri</w:t>
      </w:r>
      <w:r>
        <w:rPr>
          <w:rFonts w:eastAsia="Calibri"/>
          <w:lang w:eastAsia="en-US"/>
        </w:rPr>
        <w:t xml:space="preserve">e gydytojo </w:t>
      </w:r>
      <w:proofErr w:type="spellStart"/>
      <w:r>
        <w:rPr>
          <w:rFonts w:eastAsia="Calibri"/>
          <w:lang w:eastAsia="en-US"/>
        </w:rPr>
        <w:t>odontologo</w:t>
      </w:r>
      <w:proofErr w:type="spellEnd"/>
      <w:r>
        <w:rPr>
          <w:rFonts w:eastAsia="Calibri"/>
          <w:lang w:eastAsia="en-US"/>
        </w:rPr>
        <w:t xml:space="preserve"> kabineto </w:t>
      </w:r>
      <w:r w:rsidR="00E50F6C" w:rsidRPr="00146F66">
        <w:rPr>
          <w:rFonts w:eastAsia="Calibri"/>
          <w:lang w:eastAsia="en-US"/>
        </w:rPr>
        <w:t>(43,7 proc.).</w:t>
      </w:r>
      <w:r>
        <w:rPr>
          <w:rFonts w:eastAsia="Calibri"/>
          <w:lang w:eastAsia="en-US"/>
        </w:rPr>
        <w:t xml:space="preserve"> </w:t>
      </w:r>
      <w:r w:rsidR="00E50F6C" w:rsidRPr="00146F66">
        <w:rPr>
          <w:rFonts w:eastAsia="Calibri"/>
          <w:lang w:eastAsia="en-US"/>
        </w:rPr>
        <w:t xml:space="preserve">        Šeimos  gydytojas  paciento konsulta</w:t>
      </w:r>
      <w:r>
        <w:rPr>
          <w:rFonts w:eastAsia="Calibri"/>
          <w:lang w:eastAsia="en-US"/>
        </w:rPr>
        <w:t>cijai vidutiniškai  skiria 10-</w:t>
      </w:r>
      <w:r w:rsidR="00E50F6C" w:rsidRPr="00146F66">
        <w:rPr>
          <w:rFonts w:eastAsia="Calibri"/>
          <w:lang w:eastAsia="en-US"/>
        </w:rPr>
        <w:t xml:space="preserve">15 min, o gydytojo </w:t>
      </w:r>
      <w:proofErr w:type="spellStart"/>
      <w:r w:rsidR="00E50F6C" w:rsidRPr="00146F66">
        <w:rPr>
          <w:rFonts w:eastAsia="Calibri"/>
          <w:lang w:eastAsia="en-US"/>
        </w:rPr>
        <w:t>odontologo</w:t>
      </w:r>
      <w:proofErr w:type="spellEnd"/>
      <w:r w:rsidR="00E50F6C" w:rsidRPr="00146F66">
        <w:rPr>
          <w:rFonts w:eastAsia="Calibri"/>
          <w:lang w:eastAsia="en-US"/>
        </w:rPr>
        <w:t xml:space="preserve"> konsultacija vidutiniškai  užtrunka 23 min.</w:t>
      </w:r>
    </w:p>
    <w:p w:rsidR="00E50F6C" w:rsidRPr="005E3BD3" w:rsidRDefault="003B1988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E50F6C" w:rsidRPr="00146F66">
        <w:rPr>
          <w:rFonts w:eastAsia="Calibri"/>
          <w:lang w:eastAsia="en-US"/>
        </w:rPr>
        <w:t>Visi apklausoje dalyvavę respondentai, kurie vertino registratūros dėmesį</w:t>
      </w:r>
      <w:r>
        <w:rPr>
          <w:rFonts w:eastAsia="Calibri"/>
          <w:lang w:eastAsia="en-US"/>
        </w:rPr>
        <w:t xml:space="preserve">, </w:t>
      </w:r>
      <w:r w:rsidR="00E50F6C" w:rsidRPr="00146F66">
        <w:rPr>
          <w:rFonts w:eastAsia="Calibri"/>
          <w:lang w:eastAsia="en-US"/>
        </w:rPr>
        <w:t>skirtą pacientams, jį įvertino  labai gerai arba gerai, kitokių vertinimų nebuvo.</w:t>
      </w:r>
      <w:r>
        <w:rPr>
          <w:rFonts w:eastAsia="Calibri"/>
          <w:lang w:eastAsia="en-US"/>
        </w:rPr>
        <w:t xml:space="preserve"> </w:t>
      </w:r>
      <w:r w:rsidR="00E50F6C" w:rsidRPr="00146F66">
        <w:rPr>
          <w:rFonts w:eastAsia="Calibri"/>
          <w:lang w:eastAsia="en-US"/>
        </w:rPr>
        <w:t>96,9 proc. pacientų te</w:t>
      </w:r>
      <w:r>
        <w:rPr>
          <w:rFonts w:eastAsia="Calibri"/>
          <w:lang w:eastAsia="en-US"/>
        </w:rPr>
        <w:t>igiamai vertina šeimos gydytojo</w:t>
      </w:r>
      <w:r w:rsidR="00E50F6C" w:rsidRPr="00146F66">
        <w:rPr>
          <w:rFonts w:eastAsia="Calibri"/>
          <w:lang w:eastAsia="en-US"/>
        </w:rPr>
        <w:t xml:space="preserve"> dėmesį</w:t>
      </w:r>
      <w:r>
        <w:rPr>
          <w:rFonts w:eastAsia="Calibri"/>
          <w:lang w:eastAsia="en-US"/>
        </w:rPr>
        <w:t>,</w:t>
      </w:r>
      <w:r w:rsidR="00E50F6C" w:rsidRPr="00146F66">
        <w:rPr>
          <w:rFonts w:eastAsia="Calibri"/>
          <w:lang w:eastAsia="en-US"/>
        </w:rPr>
        <w:t xml:space="preserve"> skirtą pacientams</w:t>
      </w:r>
      <w:r>
        <w:rPr>
          <w:rFonts w:eastAsia="Calibri"/>
          <w:lang w:eastAsia="en-US"/>
        </w:rPr>
        <w:t>,</w:t>
      </w:r>
      <w:r w:rsidR="00E50F6C" w:rsidRPr="00146F66">
        <w:rPr>
          <w:rFonts w:eastAsia="Calibri"/>
          <w:lang w:eastAsia="en-US"/>
        </w:rPr>
        <w:t xml:space="preserve"> ir tik teigiamai vertina slaugytoją</w:t>
      </w:r>
      <w:r>
        <w:rPr>
          <w:rFonts w:eastAsia="Calibri"/>
          <w:lang w:eastAsia="en-US"/>
        </w:rPr>
        <w:t>,</w:t>
      </w:r>
      <w:r w:rsidR="00E50F6C" w:rsidRPr="00146F66">
        <w:rPr>
          <w:rFonts w:eastAsia="Calibri"/>
          <w:lang w:eastAsia="en-US"/>
        </w:rPr>
        <w:t xml:space="preserve"> dirbančią su šeimos gydytoju. 59,4 proc.  pacientų teigiamai ir 12,4 proc.  neigiamai vertina gydytojų </w:t>
      </w:r>
      <w:proofErr w:type="spellStart"/>
      <w:r w:rsidR="00E50F6C" w:rsidRPr="00146F66">
        <w:rPr>
          <w:rFonts w:eastAsia="Calibri"/>
          <w:lang w:eastAsia="en-US"/>
        </w:rPr>
        <w:t>odontologų</w:t>
      </w:r>
      <w:proofErr w:type="spellEnd"/>
      <w:r w:rsidR="00E50F6C" w:rsidRPr="00146F66">
        <w:rPr>
          <w:rFonts w:eastAsia="Calibri"/>
          <w:lang w:eastAsia="en-US"/>
        </w:rPr>
        <w:t xml:space="preserve"> dėmesį</w:t>
      </w:r>
      <w:r>
        <w:rPr>
          <w:rFonts w:eastAsia="Calibri"/>
          <w:lang w:eastAsia="en-US"/>
        </w:rPr>
        <w:t>,</w:t>
      </w:r>
      <w:r w:rsidR="00E50F6C" w:rsidRPr="00146F66">
        <w:rPr>
          <w:rFonts w:eastAsia="Calibri"/>
          <w:lang w:eastAsia="en-US"/>
        </w:rPr>
        <w:t xml:space="preserve"> skirtą pacientams.</w:t>
      </w:r>
      <w:r>
        <w:rPr>
          <w:rFonts w:eastAsia="Calibri"/>
          <w:lang w:eastAsia="en-US"/>
        </w:rPr>
        <w:t xml:space="preserve"> </w:t>
      </w:r>
      <w:r w:rsidR="00E50F6C" w:rsidRPr="00146F66">
        <w:rPr>
          <w:rFonts w:eastAsia="Calibri"/>
          <w:lang w:eastAsia="en-US"/>
        </w:rPr>
        <w:t>94  proc. pacien</w:t>
      </w:r>
      <w:r>
        <w:rPr>
          <w:rFonts w:eastAsia="Calibri"/>
          <w:lang w:eastAsia="en-US"/>
        </w:rPr>
        <w:t>tų teigiamai vertina slaugytojų,</w:t>
      </w:r>
      <w:r w:rsidR="00E50F6C" w:rsidRPr="00146F66">
        <w:rPr>
          <w:rFonts w:eastAsia="Calibri"/>
          <w:lang w:eastAsia="en-US"/>
        </w:rPr>
        <w:t xml:space="preserve"> dirbančių procedūrų kabinete, darbą. Nebuvo nei vieno respondento,</w:t>
      </w:r>
      <w:r>
        <w:rPr>
          <w:rFonts w:eastAsia="Calibri"/>
          <w:lang w:eastAsia="en-US"/>
        </w:rPr>
        <w:t xml:space="preserve"> kuris slaugytojų darbą vertintų</w:t>
      </w:r>
      <w:r w:rsidR="005E3BD3">
        <w:rPr>
          <w:rFonts w:eastAsia="Calibri"/>
          <w:lang w:eastAsia="en-US"/>
        </w:rPr>
        <w:t xml:space="preserve"> nepatenkinamai.</w:t>
      </w:r>
      <w:r w:rsidR="00E50F6C" w:rsidRPr="00146F66">
        <w:rPr>
          <w:rFonts w:eastAsia="Calibri"/>
          <w:lang w:eastAsia="en-US"/>
        </w:rPr>
        <w:t xml:space="preserve">        </w:t>
      </w:r>
      <w:r w:rsidR="00E50F6C" w:rsidRPr="00146F66">
        <w:rPr>
          <w:rFonts w:eastAsia="Calibri"/>
          <w:b/>
          <w:lang w:eastAsia="en-US"/>
        </w:rPr>
        <w:t>Kretingos pirminės sveikatos priežiūros cent</w:t>
      </w:r>
      <w:r>
        <w:rPr>
          <w:rFonts w:eastAsia="Calibri"/>
          <w:b/>
          <w:lang w:eastAsia="en-US"/>
        </w:rPr>
        <w:t>ro  pacientų apklausos duomenys.</w:t>
      </w:r>
    </w:p>
    <w:p w:rsidR="00E50F6C" w:rsidRPr="00146F66" w:rsidRDefault="003B1988" w:rsidP="00E50F6C">
      <w:pPr>
        <w:jc w:val="both"/>
        <w:rPr>
          <w:rFonts w:eastAsia="Arial Unicode MS"/>
        </w:rPr>
      </w:pPr>
      <w:r>
        <w:rPr>
          <w:rFonts w:eastAsia="Calibri"/>
        </w:rPr>
        <w:t xml:space="preserve">        Apklausoje dalyvavo 29,40 proc. vyresnių nei 60 metų amžiaus respondentų</w:t>
      </w:r>
      <w:r w:rsidR="00E50F6C" w:rsidRPr="00146F66">
        <w:rPr>
          <w:rFonts w:eastAsia="Calibri"/>
        </w:rPr>
        <w:t xml:space="preserve">, 59,10 proc. nurodė gyvenantys mieste, 62,10  proc. sudarė moterys. 56,40 </w:t>
      </w:r>
      <w:r w:rsidR="005C5BD9">
        <w:rPr>
          <w:rFonts w:eastAsia="Arial Unicode MS"/>
        </w:rPr>
        <w:t xml:space="preserve"> proc. </w:t>
      </w:r>
      <w:r w:rsidR="005C5BD9">
        <w:rPr>
          <w:rFonts w:eastAsia="Calibri"/>
        </w:rPr>
        <w:t>apklausoje dalyvavusių</w:t>
      </w:r>
      <w:r w:rsidR="005C5BD9" w:rsidRPr="00146F66">
        <w:rPr>
          <w:rFonts w:eastAsia="Calibri"/>
        </w:rPr>
        <w:t xml:space="preserve"> </w:t>
      </w:r>
      <w:r w:rsidR="005C5BD9">
        <w:rPr>
          <w:rFonts w:eastAsia="Arial Unicode MS"/>
        </w:rPr>
        <w:lastRenderedPageBreak/>
        <w:t>asmenų nurodė</w:t>
      </w:r>
      <w:r w:rsidR="00E50F6C" w:rsidRPr="00146F66">
        <w:rPr>
          <w:rFonts w:eastAsia="Arial Unicode MS"/>
        </w:rPr>
        <w:t xml:space="preserve"> įgiję vidurinį arba specialųjį vidurinį išsilavinimą,  bei </w:t>
      </w:r>
      <w:r w:rsidR="00E50F6C" w:rsidRPr="00146F66">
        <w:rPr>
          <w:rFonts w:eastAsia="Calibri"/>
        </w:rPr>
        <w:t xml:space="preserve">30 proc. nurodė esantys specialistai arba tarnautojai. </w:t>
      </w:r>
    </w:p>
    <w:p w:rsidR="00E50F6C" w:rsidRPr="00146F66" w:rsidRDefault="00E50F6C" w:rsidP="00E50F6C">
      <w:pPr>
        <w:jc w:val="both"/>
        <w:rPr>
          <w:rFonts w:eastAsia="Calibri"/>
        </w:rPr>
      </w:pPr>
      <w:r w:rsidRPr="00146F66">
        <w:rPr>
          <w:rFonts w:eastAsia="Arial Unicode MS"/>
        </w:rPr>
        <w:t xml:space="preserve">        Ilgiausiai respondentams teko laukti prie </w:t>
      </w:r>
      <w:r w:rsidRPr="00146F66">
        <w:rPr>
          <w:rFonts w:eastAsia="Calibri"/>
        </w:rPr>
        <w:t xml:space="preserve">gydytojo </w:t>
      </w:r>
      <w:proofErr w:type="spellStart"/>
      <w:r w:rsidRPr="00146F66">
        <w:rPr>
          <w:rFonts w:eastAsia="Calibri"/>
        </w:rPr>
        <w:t>odontologo</w:t>
      </w:r>
      <w:proofErr w:type="spellEnd"/>
      <w:r w:rsidRPr="00146F66">
        <w:rPr>
          <w:rFonts w:eastAsia="Calibri"/>
        </w:rPr>
        <w:t xml:space="preserve"> kabineto. Taip teigiančių buvo 37,8 proc.</w:t>
      </w:r>
      <w:r w:rsidR="005C5BD9">
        <w:rPr>
          <w:rFonts w:eastAsia="Calibri"/>
        </w:rPr>
        <w:t xml:space="preserve"> </w:t>
      </w:r>
      <w:r w:rsidRPr="00146F66">
        <w:rPr>
          <w:rFonts w:eastAsia="Calibri"/>
        </w:rPr>
        <w:t>Lyginant su 2006 metų apklausos rezultatais</w:t>
      </w:r>
      <w:r w:rsidR="005C5BD9">
        <w:rPr>
          <w:rFonts w:eastAsia="Calibri"/>
        </w:rPr>
        <w:t>,</w:t>
      </w:r>
      <w:r w:rsidRPr="00146F66">
        <w:rPr>
          <w:rFonts w:eastAsia="Calibri"/>
        </w:rPr>
        <w:t xml:space="preserve"> 36,6 proc. pagerėjo vertinimas pagal pacientų laiką, sugaištą prie šeimos gydytojo kabineto, taip pat 17,4  proc.  pagerėjo vertinimas pagal pacientų laiką</w:t>
      </w:r>
      <w:r w:rsidR="005C5BD9">
        <w:rPr>
          <w:rFonts w:eastAsia="Calibri"/>
        </w:rPr>
        <w:t>,</w:t>
      </w:r>
      <w:r w:rsidRPr="00146F66">
        <w:rPr>
          <w:rFonts w:eastAsia="Calibri"/>
        </w:rPr>
        <w:t xml:space="preserve"> sugaištą prie  registratūros. </w:t>
      </w:r>
      <w:r w:rsidR="005C5BD9">
        <w:rPr>
          <w:rFonts w:eastAsia="Calibri"/>
        </w:rPr>
        <w:t>Prie p</w:t>
      </w:r>
      <w:r w:rsidRPr="00146F66">
        <w:rPr>
          <w:rFonts w:eastAsia="Calibri"/>
        </w:rPr>
        <w:t xml:space="preserve">rocedūrų </w:t>
      </w:r>
      <w:r w:rsidR="005C5BD9" w:rsidRPr="00146F66">
        <w:rPr>
          <w:rFonts w:eastAsia="Calibri"/>
        </w:rPr>
        <w:t xml:space="preserve">kabineto </w:t>
      </w:r>
      <w:r w:rsidRPr="00146F66">
        <w:rPr>
          <w:rFonts w:eastAsia="Calibri"/>
        </w:rPr>
        <w:t>(</w:t>
      </w:r>
      <w:r w:rsidR="005C5BD9">
        <w:rPr>
          <w:rFonts w:eastAsia="Calibri"/>
        </w:rPr>
        <w:t>Nr.</w:t>
      </w:r>
      <w:r w:rsidRPr="00146F66">
        <w:rPr>
          <w:rFonts w:eastAsia="Calibri"/>
        </w:rPr>
        <w:t xml:space="preserve">105) 52,9 proc. respondentų teko laukti ilgiausiai,  t.y. 30 min. ir ilgiau nei 30 min. </w:t>
      </w:r>
      <w:r w:rsidR="005C5BD9" w:rsidRPr="00146F66">
        <w:rPr>
          <w:rFonts w:eastAsia="Calibri"/>
        </w:rPr>
        <w:t xml:space="preserve">47 proc. respondentų </w:t>
      </w:r>
      <w:r w:rsidR="005C5BD9">
        <w:rPr>
          <w:rFonts w:eastAsia="Calibri"/>
        </w:rPr>
        <w:t xml:space="preserve"> nurodė, jog t</w:t>
      </w:r>
      <w:r w:rsidRPr="00146F66">
        <w:rPr>
          <w:rFonts w:eastAsia="Calibri"/>
        </w:rPr>
        <w:t xml:space="preserve">rumpiau nei 10 min. tenka laukti prie kito procedūrų </w:t>
      </w:r>
      <w:r w:rsidR="005C5BD9" w:rsidRPr="00146F66">
        <w:rPr>
          <w:rFonts w:eastAsia="Calibri"/>
        </w:rPr>
        <w:t xml:space="preserve">kabineto </w:t>
      </w:r>
      <w:r w:rsidRPr="00146F66">
        <w:rPr>
          <w:rFonts w:eastAsia="Calibri"/>
        </w:rPr>
        <w:t>(</w:t>
      </w:r>
      <w:r w:rsidR="005C5BD9">
        <w:rPr>
          <w:rFonts w:eastAsia="Calibri"/>
        </w:rPr>
        <w:t>Nr.</w:t>
      </w:r>
      <w:r w:rsidRPr="00146F66">
        <w:rPr>
          <w:rFonts w:eastAsia="Calibri"/>
        </w:rPr>
        <w:t>309).</w:t>
      </w:r>
      <w:r w:rsidR="005C5BD9">
        <w:rPr>
          <w:rFonts w:eastAsia="Calibri"/>
        </w:rPr>
        <w:t xml:space="preserve"> </w:t>
      </w:r>
      <w:r w:rsidRPr="00146F66">
        <w:rPr>
          <w:rFonts w:eastAsia="Calibri"/>
        </w:rPr>
        <w:t>Pagal gautus anketinės apklausos duomenis</w:t>
      </w:r>
      <w:r w:rsidR="005C5BD9">
        <w:rPr>
          <w:rFonts w:eastAsia="Calibri"/>
        </w:rPr>
        <w:t>,</w:t>
      </w:r>
      <w:r w:rsidRPr="00146F66">
        <w:rPr>
          <w:rFonts w:eastAsia="Calibri"/>
        </w:rPr>
        <w:t xml:space="preserve"> šeimos gydytojas paciento konsul</w:t>
      </w:r>
      <w:r w:rsidR="005C5BD9">
        <w:rPr>
          <w:rFonts w:eastAsia="Calibri"/>
        </w:rPr>
        <w:t>tacijai vidutiniškai  skiria 10-1</w:t>
      </w:r>
      <w:r w:rsidRPr="00146F66">
        <w:rPr>
          <w:rFonts w:eastAsia="Calibri"/>
        </w:rPr>
        <w:t>5 min.</w:t>
      </w:r>
    </w:p>
    <w:p w:rsidR="00E50F6C" w:rsidRPr="00146F66" w:rsidRDefault="005C5BD9" w:rsidP="00E50F6C">
      <w:pPr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E50F6C" w:rsidRPr="00146F66">
        <w:rPr>
          <w:rFonts w:eastAsia="Calibri"/>
        </w:rPr>
        <w:t>Didžioji dalis apklaustųjų teigiamai vertina  įstaigos darbuoto</w:t>
      </w:r>
      <w:r w:rsidR="005E3BD3">
        <w:rPr>
          <w:rFonts w:eastAsia="Calibri"/>
        </w:rPr>
        <w:t>jų dėmesį ir atidumą pacientams</w:t>
      </w:r>
      <w:r w:rsidR="005E3BD3" w:rsidRPr="005E3BD3">
        <w:rPr>
          <w:rFonts w:eastAsia="Calibri"/>
        </w:rPr>
        <w:t xml:space="preserve"> </w:t>
      </w:r>
      <w:r w:rsidR="005E3BD3">
        <w:rPr>
          <w:rFonts w:eastAsia="Calibri"/>
        </w:rPr>
        <w:t xml:space="preserve">(1 </w:t>
      </w:r>
      <w:r w:rsidR="005E3BD3" w:rsidRPr="00146F66">
        <w:rPr>
          <w:rFonts w:eastAsia="Calibri"/>
        </w:rPr>
        <w:t>lentelė)</w:t>
      </w:r>
      <w:r w:rsidR="005E3BD3">
        <w:rPr>
          <w:rFonts w:eastAsia="Calibri"/>
        </w:rPr>
        <w:t>. Lentelėje</w:t>
      </w:r>
      <w:r w:rsidR="00E50F6C" w:rsidRPr="00146F66">
        <w:rPr>
          <w:rFonts w:eastAsia="Calibri"/>
        </w:rPr>
        <w:t xml:space="preserve"> pateikti tyrimo parametrai ir anketinės apklausos vertinime (įstaigos darbuotojų dėmesį ir atidumą pacientams) dalyvavusių pacientų vertinimo kriterijai.</w:t>
      </w:r>
    </w:p>
    <w:p w:rsidR="00E50F6C" w:rsidRPr="005E3BD3" w:rsidRDefault="005E3BD3" w:rsidP="00E50F6C">
      <w:pPr>
        <w:spacing w:line="360" w:lineRule="auto"/>
        <w:jc w:val="both"/>
        <w:rPr>
          <w:rFonts w:eastAsia="Calibri"/>
          <w:i/>
        </w:rPr>
      </w:pPr>
      <w:r w:rsidRPr="005E3BD3">
        <w:rPr>
          <w:rFonts w:eastAsia="Calibri"/>
          <w:i/>
        </w:rPr>
        <w:t xml:space="preserve">                                                                                                                                                1 lentelė</w:t>
      </w:r>
    </w:p>
    <w:tbl>
      <w:tblPr>
        <w:tblW w:w="9689" w:type="dxa"/>
        <w:jc w:val="center"/>
        <w:tblInd w:w="-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04"/>
        <w:gridCol w:w="1134"/>
        <w:gridCol w:w="1158"/>
      </w:tblGrid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Eil. Nr.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0F6C" w:rsidRPr="007B77EF" w:rsidRDefault="00E50F6C" w:rsidP="00E50F6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77EF">
              <w:rPr>
                <w:rFonts w:eastAsia="Calibri"/>
                <w:sz w:val="22"/>
                <w:szCs w:val="22"/>
              </w:rPr>
              <w:t>Tyrimo parametras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7B77EF" w:rsidRDefault="00E50F6C" w:rsidP="00E50F6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77EF">
              <w:rPr>
                <w:rFonts w:eastAsia="Calibri"/>
                <w:sz w:val="22"/>
                <w:szCs w:val="22"/>
              </w:rPr>
              <w:t>Teigiamai vertina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7B77EF" w:rsidRDefault="00E50F6C" w:rsidP="00E50F6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7B77EF">
              <w:rPr>
                <w:rFonts w:eastAsia="Calibri"/>
                <w:sz w:val="22"/>
                <w:szCs w:val="22"/>
              </w:rPr>
              <w:t>Neigiamai vertina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>Slaugytojo, dirbančio su Jūsų šeimos gydytoju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0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>Šeimos gydytojo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99,1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0,9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 xml:space="preserve">Slaugytojo, dirbančio 310 procedūrų (elektrokardiogramų užrašymas, vaikų skiepijimas ir kt.) kabinete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96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4</w:t>
            </w:r>
          </w:p>
        </w:tc>
      </w:tr>
      <w:tr w:rsidR="00E50F6C" w:rsidRPr="00E50F6C" w:rsidTr="007B77EF">
        <w:trPr>
          <w:trHeight w:val="826"/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>Slaugytojo, dirbančio 309 procedūrų (kraujo tyrimų paėmimas iš piršto, šlapimo tyrimų atlikimas ir kt.) kabinete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95,8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4,2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>Slaugytojo, dirbančio 105 procedūrų (kraujo tyrimų paėmimas iš venos, medikamentų injekcijos ir kt.) kabinete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89,7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10,3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both"/>
              <w:rPr>
                <w:rFonts w:eastAsia="Calibri"/>
              </w:rPr>
            </w:pPr>
            <w:r w:rsidRPr="00E50F6C">
              <w:rPr>
                <w:rFonts w:eastAsia="Calibri"/>
              </w:rPr>
              <w:t>Administracijos darbuotojų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87,8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12,2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>Registratūros darbuotojų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77,6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22,4</w:t>
            </w:r>
          </w:p>
        </w:tc>
      </w:tr>
      <w:tr w:rsidR="00E50F6C" w:rsidRPr="00E50F6C" w:rsidTr="007B77EF">
        <w:trPr>
          <w:jc w:val="center"/>
        </w:trPr>
        <w:tc>
          <w:tcPr>
            <w:tcW w:w="593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50F6C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E50F6C" w:rsidRPr="00E50F6C" w:rsidRDefault="00E50F6C" w:rsidP="00E50F6C">
            <w:pPr>
              <w:spacing w:after="200" w:line="276" w:lineRule="auto"/>
              <w:rPr>
                <w:rFonts w:eastAsia="Calibri"/>
              </w:rPr>
            </w:pPr>
            <w:r w:rsidRPr="00E50F6C">
              <w:rPr>
                <w:rFonts w:eastAsia="Calibri"/>
              </w:rPr>
              <w:t xml:space="preserve">Gydytojo </w:t>
            </w:r>
            <w:proofErr w:type="spellStart"/>
            <w:r w:rsidRPr="00E50F6C">
              <w:rPr>
                <w:rFonts w:eastAsia="Calibri"/>
              </w:rPr>
              <w:t>odontologo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76,2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50F6C" w:rsidRPr="00E50F6C" w:rsidRDefault="00E50F6C" w:rsidP="00E50F6C">
            <w:pPr>
              <w:spacing w:after="200" w:line="276" w:lineRule="auto"/>
              <w:jc w:val="center"/>
              <w:rPr>
                <w:rFonts w:eastAsia="Calibri"/>
              </w:rPr>
            </w:pPr>
            <w:r w:rsidRPr="00E50F6C">
              <w:rPr>
                <w:rFonts w:eastAsia="Calibri"/>
              </w:rPr>
              <w:t>23,8</w:t>
            </w:r>
          </w:p>
        </w:tc>
      </w:tr>
    </w:tbl>
    <w:p w:rsidR="00F77B9B" w:rsidRDefault="00F77B9B" w:rsidP="00E50F6C">
      <w:pPr>
        <w:jc w:val="both"/>
        <w:rPr>
          <w:rFonts w:eastAsia="Calibri"/>
          <w:b/>
          <w:lang w:eastAsia="en-US"/>
        </w:rPr>
      </w:pPr>
    </w:p>
    <w:p w:rsidR="00E50F6C" w:rsidRPr="005E3BD3" w:rsidRDefault="00E50F6C" w:rsidP="00E50F6C">
      <w:pPr>
        <w:jc w:val="both"/>
        <w:rPr>
          <w:rFonts w:eastAsia="Calibri"/>
          <w:b/>
          <w:lang w:eastAsia="en-US"/>
        </w:rPr>
      </w:pPr>
      <w:r w:rsidRPr="005E3BD3">
        <w:rPr>
          <w:rFonts w:eastAsia="Calibri"/>
          <w:b/>
          <w:lang w:eastAsia="en-US"/>
        </w:rPr>
        <w:t xml:space="preserve">2014 m. lapkričio 17-28 dienomis atliktos  </w:t>
      </w:r>
      <w:proofErr w:type="spellStart"/>
      <w:r w:rsidRPr="005E3BD3">
        <w:rPr>
          <w:rFonts w:eastAsia="Calibri"/>
          <w:b/>
          <w:lang w:eastAsia="en-US"/>
        </w:rPr>
        <w:t>VšĮ</w:t>
      </w:r>
      <w:proofErr w:type="spellEnd"/>
      <w:r w:rsidRPr="005E3BD3">
        <w:rPr>
          <w:rFonts w:eastAsia="Calibri"/>
          <w:b/>
          <w:lang w:eastAsia="en-US"/>
        </w:rPr>
        <w:t xml:space="preserve"> Kretingos pirminės sveikatos priežiūros centro</w:t>
      </w:r>
    </w:p>
    <w:p w:rsidR="00E50F6C" w:rsidRPr="005E3BD3" w:rsidRDefault="00E50F6C" w:rsidP="00E50F6C">
      <w:pPr>
        <w:jc w:val="both"/>
        <w:rPr>
          <w:rFonts w:eastAsia="Calibri"/>
          <w:b/>
          <w:lang w:eastAsia="en-US"/>
        </w:rPr>
      </w:pPr>
      <w:r w:rsidRPr="005E3BD3">
        <w:rPr>
          <w:rFonts w:eastAsia="Calibri"/>
          <w:b/>
          <w:lang w:eastAsia="en-US"/>
        </w:rPr>
        <w:t xml:space="preserve">pacientų pasitenkinimo įstaigos veikla vertinimo analizė. </w:t>
      </w:r>
    </w:p>
    <w:p w:rsidR="00E50F6C" w:rsidRPr="005E3BD3" w:rsidRDefault="00E50F6C" w:rsidP="00E50F6C">
      <w:pPr>
        <w:jc w:val="both"/>
        <w:rPr>
          <w:rFonts w:eastAsia="Calibri"/>
          <w:lang w:eastAsia="en-US"/>
        </w:rPr>
      </w:pPr>
      <w:r w:rsidRPr="005E3BD3">
        <w:rPr>
          <w:rFonts w:eastAsia="Calibri"/>
          <w:lang w:eastAsia="en-US"/>
        </w:rPr>
        <w:t xml:space="preserve">       Tyrimui atlikti naudotos 150 anketos. Apklausoje dalyvavo 89,33 proc. planuojamų apklausti res</w:t>
      </w:r>
      <w:r w:rsidR="00F77B9B">
        <w:rPr>
          <w:rFonts w:eastAsia="Calibri"/>
          <w:lang w:eastAsia="en-US"/>
        </w:rPr>
        <w:t>pondentų. Tai sudarė: 27  proc. asmenų, kurių amžius 50-</w:t>
      </w:r>
      <w:r w:rsidRPr="005E3BD3">
        <w:rPr>
          <w:rFonts w:eastAsia="Calibri"/>
          <w:lang w:eastAsia="en-US"/>
        </w:rPr>
        <w:t xml:space="preserve">59 m., 21  proc. </w:t>
      </w:r>
      <w:r w:rsidR="00F77B9B">
        <w:rPr>
          <w:rFonts w:eastAsia="Calibri"/>
          <w:lang w:eastAsia="en-US"/>
        </w:rPr>
        <w:t>–</w:t>
      </w:r>
      <w:r w:rsidRPr="005E3BD3">
        <w:rPr>
          <w:rFonts w:eastAsia="Calibri"/>
          <w:lang w:eastAsia="en-US"/>
        </w:rPr>
        <w:t xml:space="preserve"> vyresni nei 60 metų, 18 pr</w:t>
      </w:r>
      <w:r w:rsidR="00F77B9B">
        <w:rPr>
          <w:rFonts w:eastAsia="Calibri"/>
          <w:lang w:eastAsia="en-US"/>
        </w:rPr>
        <w:t>oc. asmenys iki 29 m., 17 proc. – 30-</w:t>
      </w:r>
      <w:r w:rsidRPr="005E3BD3">
        <w:rPr>
          <w:rFonts w:eastAsia="Calibri"/>
          <w:lang w:eastAsia="en-US"/>
        </w:rPr>
        <w:t xml:space="preserve">39 m., 15  proc. </w:t>
      </w:r>
      <w:r w:rsidR="00F77B9B" w:rsidRPr="005E3BD3">
        <w:rPr>
          <w:rFonts w:eastAsia="Calibri"/>
          <w:lang w:eastAsia="en-US"/>
        </w:rPr>
        <w:t>–</w:t>
      </w:r>
      <w:r w:rsidRPr="005E3BD3">
        <w:rPr>
          <w:rFonts w:eastAsia="Calibri"/>
          <w:lang w:eastAsia="en-US"/>
        </w:rPr>
        <w:t xml:space="preserve"> 40</w:t>
      </w:r>
      <w:r w:rsidR="00F77B9B">
        <w:rPr>
          <w:rFonts w:eastAsia="Calibri"/>
          <w:lang w:eastAsia="en-US"/>
        </w:rPr>
        <w:t>-</w:t>
      </w:r>
      <w:r w:rsidRPr="005E3BD3">
        <w:rPr>
          <w:rFonts w:eastAsia="Calibri"/>
          <w:lang w:eastAsia="en-US"/>
        </w:rPr>
        <w:t xml:space="preserve">49 metų amžiaus.   64 </w:t>
      </w:r>
      <w:r w:rsidRPr="005E3BD3">
        <w:rPr>
          <w:rFonts w:ascii="Calibri" w:eastAsia="Calibri" w:hAnsi="Calibri"/>
          <w:lang w:eastAsia="en-US"/>
        </w:rPr>
        <w:t xml:space="preserve"> proc. </w:t>
      </w:r>
      <w:r w:rsidRPr="005E3BD3">
        <w:rPr>
          <w:rFonts w:eastAsia="Calibri"/>
          <w:lang w:eastAsia="en-US"/>
        </w:rPr>
        <w:t xml:space="preserve"> apklausoje dalyvavusių respondentų sudarė moterys, </w:t>
      </w:r>
      <w:r w:rsidRPr="00F77B9B">
        <w:rPr>
          <w:rFonts w:eastAsia="Calibri"/>
          <w:lang w:eastAsia="en-US"/>
        </w:rPr>
        <w:t>32  proc.</w:t>
      </w:r>
      <w:r w:rsidR="00F77B9B">
        <w:rPr>
          <w:rFonts w:eastAsia="Calibri"/>
          <w:lang w:eastAsia="en-US"/>
        </w:rPr>
        <w:t xml:space="preserve"> </w:t>
      </w:r>
      <w:r w:rsidRPr="005E3BD3">
        <w:rPr>
          <w:rFonts w:eastAsia="Calibri"/>
          <w:lang w:eastAsia="en-US"/>
        </w:rPr>
        <w:t xml:space="preserve"> vyrai ir 4 </w:t>
      </w:r>
      <w:r w:rsidRPr="005E3BD3">
        <w:rPr>
          <w:rFonts w:ascii="Calibri" w:eastAsia="Calibri" w:hAnsi="Calibri"/>
          <w:lang w:eastAsia="en-US"/>
        </w:rPr>
        <w:t xml:space="preserve"> </w:t>
      </w:r>
      <w:r w:rsidRPr="00F77B9B">
        <w:rPr>
          <w:rFonts w:eastAsia="Calibri"/>
          <w:lang w:eastAsia="en-US"/>
        </w:rPr>
        <w:t>proc</w:t>
      </w:r>
      <w:r w:rsidRPr="005E3BD3">
        <w:rPr>
          <w:rFonts w:ascii="Calibri" w:eastAsia="Calibri" w:hAnsi="Calibri"/>
          <w:lang w:eastAsia="en-US"/>
        </w:rPr>
        <w:t xml:space="preserve">. </w:t>
      </w:r>
      <w:r w:rsidRPr="005E3BD3">
        <w:rPr>
          <w:rFonts w:eastAsia="Calibri"/>
          <w:lang w:eastAsia="en-US"/>
        </w:rPr>
        <w:t>nenurodė lyties.</w:t>
      </w:r>
    </w:p>
    <w:p w:rsidR="00E50F6C" w:rsidRPr="005E3BD3" w:rsidRDefault="00E50F6C" w:rsidP="00E50F6C">
      <w:pPr>
        <w:jc w:val="both"/>
        <w:rPr>
          <w:rFonts w:eastAsia="Calibri"/>
          <w:lang w:eastAsia="en-US"/>
        </w:rPr>
      </w:pPr>
      <w:r w:rsidRPr="005E3BD3">
        <w:rPr>
          <w:rFonts w:eastAsia="Calibri"/>
          <w:lang w:eastAsia="en-US"/>
        </w:rPr>
        <w:t xml:space="preserve">       Apibendrina</w:t>
      </w:r>
      <w:r w:rsidR="00F77B9B">
        <w:rPr>
          <w:rFonts w:eastAsia="Calibri"/>
          <w:lang w:eastAsia="en-US"/>
        </w:rPr>
        <w:t>n</w:t>
      </w:r>
      <w:r w:rsidRPr="005E3BD3">
        <w:rPr>
          <w:rFonts w:eastAsia="Calibri"/>
          <w:lang w:eastAsia="en-US"/>
        </w:rPr>
        <w:t xml:space="preserve">t galima teigti,  kad 80  proc. respondentų teigiamai vertina </w:t>
      </w:r>
      <w:r w:rsidR="00F77B9B">
        <w:rPr>
          <w:rFonts w:eastAsia="Calibri"/>
          <w:lang w:eastAsia="en-US"/>
        </w:rPr>
        <w:t>gydytojų ir slaugos specialistų</w:t>
      </w:r>
      <w:r w:rsidRPr="005E3BD3">
        <w:rPr>
          <w:rFonts w:eastAsia="Calibri"/>
          <w:lang w:eastAsia="en-US"/>
        </w:rPr>
        <w:t xml:space="preserve">  darbą, jų teikiamas paslaugas. 17 proc.  respondentų abejoja specialistų kompetencija. 3  proc</w:t>
      </w:r>
      <w:r w:rsidR="00F77B9B">
        <w:rPr>
          <w:rFonts w:eastAsia="Calibri"/>
          <w:lang w:eastAsia="en-US"/>
        </w:rPr>
        <w:t>. respondentų mano, kad gydytojai</w:t>
      </w:r>
      <w:r w:rsidRPr="005E3BD3">
        <w:rPr>
          <w:rFonts w:eastAsia="Calibri"/>
          <w:lang w:eastAsia="en-US"/>
        </w:rPr>
        <w:t xml:space="preserve"> ir slaugos speciali</w:t>
      </w:r>
      <w:r w:rsidR="00F77B9B">
        <w:rPr>
          <w:rFonts w:eastAsia="Calibri"/>
          <w:lang w:eastAsia="en-US"/>
        </w:rPr>
        <w:t>stai paslaugas teikia blogai. 2</w:t>
      </w:r>
      <w:r w:rsidRPr="005E3BD3">
        <w:rPr>
          <w:rFonts w:eastAsia="Calibri"/>
          <w:lang w:eastAsia="en-US"/>
        </w:rPr>
        <w:t xml:space="preserve"> proc. re</w:t>
      </w:r>
      <w:r w:rsidR="00F77B9B">
        <w:rPr>
          <w:rFonts w:eastAsia="Calibri"/>
          <w:lang w:eastAsia="en-US"/>
        </w:rPr>
        <w:t>spondentų į klausimus neatsakė.</w:t>
      </w:r>
      <w:r w:rsidRPr="005E3BD3">
        <w:rPr>
          <w:rFonts w:eastAsia="Calibri"/>
          <w:lang w:eastAsia="en-US"/>
        </w:rPr>
        <w:t xml:space="preserve"> 80 proc. respondentų informaciją iš gydytojų ir slaugos specialistų  gauna suprantamai,  13 proc.  respondentų iš dalies supranta informaciją, kurią suteikia gydytojas ir  9 proc. supranta informaciją, kurią suteikia slaugos specialistas. Įvertin</w:t>
      </w:r>
      <w:r w:rsidR="00F77B9B">
        <w:rPr>
          <w:rFonts w:eastAsia="Calibri"/>
          <w:lang w:eastAsia="en-US"/>
        </w:rPr>
        <w:t>us 11 proc.  respondentų nuomonę, t.y. vertinimas ,,i</w:t>
      </w:r>
      <w:r w:rsidRPr="005E3BD3">
        <w:rPr>
          <w:rFonts w:eastAsia="Calibri"/>
          <w:lang w:eastAsia="en-US"/>
        </w:rPr>
        <w:t>nformacija suprasta iš dalies“ ir 3  proc. teigiantys visiškai nesuprantantys informacijos, galime teigti, kad specialistai nepakankamai aiškiai informuoja pacientus.</w:t>
      </w:r>
    </w:p>
    <w:p w:rsidR="00B1726E" w:rsidRDefault="00F77B9B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Apibendrinus gautus rezultatus,</w:t>
      </w:r>
      <w:r w:rsidR="00E50F6C" w:rsidRPr="005E3BD3">
        <w:rPr>
          <w:rFonts w:eastAsia="Calibri"/>
          <w:lang w:eastAsia="en-US"/>
        </w:rPr>
        <w:t xml:space="preserve"> galime teigti, kad vidutiniškai 81 proc. </w:t>
      </w:r>
      <w:r w:rsidRPr="005E3BD3">
        <w:rPr>
          <w:rFonts w:eastAsia="Calibri"/>
          <w:lang w:eastAsia="en-US"/>
        </w:rPr>
        <w:t>respondentų</w:t>
      </w:r>
      <w:r>
        <w:rPr>
          <w:rFonts w:eastAsia="Calibri"/>
          <w:lang w:eastAsia="en-US"/>
        </w:rPr>
        <w:t>,</w:t>
      </w:r>
      <w:r w:rsidRPr="005E3BD3">
        <w:rPr>
          <w:rFonts w:eastAsia="Calibri"/>
          <w:lang w:eastAsia="en-US"/>
        </w:rPr>
        <w:t xml:space="preserve"> </w:t>
      </w:r>
      <w:r w:rsidR="00E50F6C" w:rsidRPr="005E3BD3">
        <w:rPr>
          <w:rFonts w:eastAsia="Calibri"/>
          <w:lang w:eastAsia="en-US"/>
        </w:rPr>
        <w:t>besilankančių gydymo įstaigoje</w:t>
      </w:r>
      <w:r>
        <w:rPr>
          <w:rFonts w:eastAsia="Calibri"/>
          <w:lang w:eastAsia="en-US"/>
        </w:rPr>
        <w:t>,</w:t>
      </w:r>
      <w:r w:rsidR="00E50F6C" w:rsidRPr="005E3BD3">
        <w:rPr>
          <w:rFonts w:eastAsia="Calibri"/>
          <w:lang w:eastAsia="en-US"/>
        </w:rPr>
        <w:t xml:space="preserve"> lūkesčiai yra patenkinti ir jie jaučia personalo pagarbą.  12 proc. </w:t>
      </w:r>
    </w:p>
    <w:p w:rsidR="00E50F6C" w:rsidRPr="003A2C29" w:rsidRDefault="003A2C29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respondentų ,,i</w:t>
      </w:r>
      <w:r w:rsidR="00E50F6C" w:rsidRPr="005E3BD3">
        <w:rPr>
          <w:rFonts w:eastAsia="Calibri"/>
          <w:lang w:eastAsia="en-US"/>
        </w:rPr>
        <w:t xml:space="preserve">š dalies“ jaučia personalo pagarbą ir teigia, kad personalas atsižvelgia į paciento </w:t>
      </w:r>
      <w:r w:rsidR="00E50F6C" w:rsidRPr="003A2C29">
        <w:rPr>
          <w:rFonts w:eastAsia="Calibri"/>
          <w:lang w:eastAsia="en-US"/>
        </w:rPr>
        <w:t>nuomonę, spręsdamas dėl tyrimo ir gydymo taktikos</w:t>
      </w:r>
      <w:r>
        <w:rPr>
          <w:rFonts w:eastAsia="Calibri"/>
          <w:lang w:eastAsia="en-US"/>
        </w:rPr>
        <w:t xml:space="preserve"> parinkimo. 3 proc. respondentų</w:t>
      </w:r>
      <w:r w:rsidR="00E50F6C" w:rsidRPr="003A2C29">
        <w:rPr>
          <w:rFonts w:eastAsia="Calibri"/>
          <w:lang w:eastAsia="en-US"/>
        </w:rPr>
        <w:t xml:space="preserve"> jautė personalo nepagarbą ir į jų nuomonę dėl tyrimo ir gydymo taktikos </w:t>
      </w:r>
      <w:r>
        <w:rPr>
          <w:rFonts w:eastAsia="Calibri"/>
          <w:lang w:eastAsia="en-US"/>
        </w:rPr>
        <w:t xml:space="preserve">nebuvo </w:t>
      </w:r>
      <w:r w:rsidR="00E50F6C" w:rsidRPr="003A2C29">
        <w:rPr>
          <w:rFonts w:eastAsia="Calibri"/>
          <w:lang w:eastAsia="en-US"/>
        </w:rPr>
        <w:t>atsižvelgta.</w:t>
      </w:r>
    </w:p>
    <w:p w:rsidR="003A2C29" w:rsidRDefault="00E50F6C" w:rsidP="00E50F6C">
      <w:pPr>
        <w:jc w:val="both"/>
        <w:rPr>
          <w:rFonts w:eastAsia="Calibri"/>
          <w:lang w:eastAsia="en-US"/>
        </w:rPr>
      </w:pPr>
      <w:r w:rsidRPr="003A2C29">
        <w:rPr>
          <w:rFonts w:eastAsia="Calibri"/>
          <w:lang w:eastAsia="en-US"/>
        </w:rPr>
        <w:t xml:space="preserve">      57 proc. visų apklausoje dalyvavusių respondentų į pateiktus anketos klausimus atsakė tik teigiamai.</w:t>
      </w:r>
      <w:r w:rsidR="003A2C29">
        <w:rPr>
          <w:rFonts w:eastAsia="Calibri"/>
          <w:lang w:eastAsia="en-US"/>
        </w:rPr>
        <w:t xml:space="preserve"> </w:t>
      </w:r>
      <w:r w:rsidRPr="003A2C29">
        <w:rPr>
          <w:rFonts w:eastAsia="Calibri"/>
          <w:lang w:eastAsia="en-US"/>
        </w:rPr>
        <w:t xml:space="preserve">Į klausimą ,,Gal galėtumėte įvardinti pagrindines problemas, su kuriomis Jums teko susidurti mūsų įstaigoje?“ gauti atsakymai pagal nurodytas problemas sugrupuoti į tris grupes: vadybines, profesines ir etines, bei skirtas kitai gydymo įstaigai. </w:t>
      </w:r>
    </w:p>
    <w:p w:rsidR="00E50F6C" w:rsidRPr="003A2C29" w:rsidRDefault="003A2C29" w:rsidP="00E50F6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E50F6C" w:rsidRPr="003A2C29">
        <w:rPr>
          <w:rFonts w:eastAsia="Calibri"/>
          <w:lang w:eastAsia="en-US"/>
        </w:rPr>
        <w:t>Apibendrinant galima teigti, kad 44 proc. respondentų, kurie pažymėjo problemas, su kuriomis susidūrė mūsų įstaigoje</w:t>
      </w:r>
      <w:r>
        <w:rPr>
          <w:rFonts w:eastAsia="Calibri"/>
          <w:lang w:eastAsia="en-US"/>
        </w:rPr>
        <w:t>,</w:t>
      </w:r>
      <w:r w:rsidR="00E50F6C" w:rsidRPr="003A2C29">
        <w:rPr>
          <w:rFonts w:eastAsia="Calibri"/>
          <w:lang w:eastAsia="en-US"/>
        </w:rPr>
        <w:t xml:space="preserve"> vis tik rekomenduotų gydytis mūsų įstaigoje s</w:t>
      </w:r>
      <w:r>
        <w:rPr>
          <w:rFonts w:eastAsia="Calibri"/>
          <w:lang w:eastAsia="en-US"/>
        </w:rPr>
        <w:t xml:space="preserve">avo artimam žmogui, 38  proc. rekomenduotų tik iš dalies. </w:t>
      </w:r>
      <w:r w:rsidR="00E50F6C" w:rsidRPr="003A2C29">
        <w:rPr>
          <w:rFonts w:eastAsia="Calibri"/>
          <w:lang w:eastAsia="en-US"/>
        </w:rPr>
        <w:t>Tyrimo metu gautas atsiliepimas, kuriame teigiama</w:t>
      </w:r>
      <w:r>
        <w:rPr>
          <w:rFonts w:eastAsia="Calibri"/>
          <w:lang w:eastAsia="en-US"/>
        </w:rPr>
        <w:t>:</w:t>
      </w:r>
      <w:r w:rsidR="00E50F6C" w:rsidRPr="003A2C29">
        <w:rPr>
          <w:rFonts w:eastAsia="Calibri"/>
          <w:lang w:eastAsia="en-US"/>
        </w:rPr>
        <w:t xml:space="preserve"> ,,Paskirti jauni specialistai labai gerai rūpinasi savo pacientais“. </w:t>
      </w:r>
    </w:p>
    <w:p w:rsidR="008E1F59" w:rsidRPr="003A2C29" w:rsidRDefault="00BC008F" w:rsidP="001549D9">
      <w:pPr>
        <w:jc w:val="both"/>
      </w:pPr>
      <w:r>
        <w:rPr>
          <w:b/>
        </w:rPr>
        <w:t xml:space="preserve">       </w:t>
      </w:r>
      <w:r w:rsidR="00F04638" w:rsidRPr="00F04638">
        <w:rPr>
          <w:b/>
        </w:rPr>
        <w:t>Skundai</w:t>
      </w:r>
      <w:r w:rsidR="00F04638">
        <w:t xml:space="preserve">. </w:t>
      </w:r>
      <w:r w:rsidR="008E1F59" w:rsidRPr="003A2C29">
        <w:t>2014</w:t>
      </w:r>
      <w:r w:rsidR="00CE18F8" w:rsidRPr="003A2C29">
        <w:t xml:space="preserve"> metais</w:t>
      </w:r>
      <w:r w:rsidR="00D55B93" w:rsidRPr="003A2C29">
        <w:t xml:space="preserve">  gau</w:t>
      </w:r>
      <w:r w:rsidR="00592CE3" w:rsidRPr="003A2C29">
        <w:t>tas 1 skundas</w:t>
      </w:r>
      <w:r w:rsidR="00233A8A" w:rsidRPr="003A2C29">
        <w:t>.</w:t>
      </w:r>
      <w:r w:rsidR="001753AF" w:rsidRPr="003A2C29">
        <w:t xml:space="preserve"> </w:t>
      </w:r>
      <w:r w:rsidR="00233A8A" w:rsidRPr="003A2C29">
        <w:t>Rajono gyventojas</w:t>
      </w:r>
      <w:r w:rsidR="008E1F59" w:rsidRPr="003A2C29">
        <w:t xml:space="preserve"> spaudai pasiskundė,</w:t>
      </w:r>
      <w:r w:rsidR="001753AF" w:rsidRPr="003A2C29">
        <w:t xml:space="preserve"> </w:t>
      </w:r>
      <w:r w:rsidR="008E1F59" w:rsidRPr="003A2C29">
        <w:t>kad GMP automobilis Rūdaičiuose  neatvažiavo į autoįvykio vietą,</w:t>
      </w:r>
      <w:r w:rsidR="001753AF" w:rsidRPr="003A2C29">
        <w:t xml:space="preserve"> n</w:t>
      </w:r>
      <w:r w:rsidR="008E1F59" w:rsidRPr="003A2C29">
        <w:t>ors buvo netoliese.</w:t>
      </w:r>
      <w:r w:rsidR="00E50F6C" w:rsidRPr="003A2C29">
        <w:t xml:space="preserve"> T</w:t>
      </w:r>
      <w:r w:rsidR="008E1F59" w:rsidRPr="003A2C29">
        <w:t xml:space="preserve">uo metu GMP automobilis vežė pacientą su </w:t>
      </w:r>
      <w:r w:rsidR="00E50F6C" w:rsidRPr="003A2C29">
        <w:t xml:space="preserve">įtariamo </w:t>
      </w:r>
      <w:r w:rsidR="008E1F59" w:rsidRPr="003A2C29">
        <w:t>in</w:t>
      </w:r>
      <w:r w:rsidR="00233A8A" w:rsidRPr="003A2C29">
        <w:t>sulto diagnoze</w:t>
      </w:r>
      <w:r w:rsidR="008E1F59" w:rsidRPr="003A2C29">
        <w:t xml:space="preserve"> į gydymo įstaigą,</w:t>
      </w:r>
      <w:r w:rsidR="001753AF" w:rsidRPr="003A2C29">
        <w:t xml:space="preserve"> </w:t>
      </w:r>
      <w:r w:rsidR="008E1F59" w:rsidRPr="003A2C29">
        <w:t>o apie įvykusią avariją nieko nežinojo,</w:t>
      </w:r>
      <w:r w:rsidR="001753AF" w:rsidRPr="003A2C29">
        <w:t xml:space="preserve"> </w:t>
      </w:r>
      <w:r w:rsidR="008E1F59" w:rsidRPr="003A2C29">
        <w:t>nes centralizuota dispečerinė</w:t>
      </w:r>
      <w:r w:rsidR="007D79DA" w:rsidRPr="003A2C29">
        <w:t xml:space="preserve"> apie autoįvykį </w:t>
      </w:r>
      <w:r w:rsidR="008E1F59" w:rsidRPr="003A2C29">
        <w:t xml:space="preserve"> mūsų ekipažui nepranešė.</w:t>
      </w:r>
    </w:p>
    <w:p w:rsidR="008F6F13" w:rsidRPr="003A2C29" w:rsidRDefault="008F6F13" w:rsidP="0049754E">
      <w:pPr>
        <w:ind w:left="862"/>
        <w:jc w:val="both"/>
        <w:rPr>
          <w:color w:val="FF0000"/>
        </w:rPr>
      </w:pPr>
    </w:p>
    <w:p w:rsidR="001549D9" w:rsidRPr="00F04638" w:rsidRDefault="00153C46" w:rsidP="001549D9">
      <w:pPr>
        <w:jc w:val="both"/>
        <w:rPr>
          <w:u w:val="single"/>
        </w:rPr>
      </w:pPr>
      <w:r w:rsidRPr="00F04638">
        <w:rPr>
          <w:u w:val="single"/>
        </w:rPr>
        <w:t>2</w:t>
      </w:r>
      <w:r w:rsidR="00803B10" w:rsidRPr="00F04638">
        <w:rPr>
          <w:u w:val="single"/>
        </w:rPr>
        <w:t>.6. Įstaigos kokybės vadybos sistemos tobulinim</w:t>
      </w:r>
      <w:r w:rsidR="001A3F41">
        <w:rPr>
          <w:u w:val="single"/>
        </w:rPr>
        <w:t>as (nuolat atnaujinti įstaigos K</w:t>
      </w:r>
      <w:r w:rsidR="00803B10" w:rsidRPr="00F04638">
        <w:rPr>
          <w:u w:val="single"/>
        </w:rPr>
        <w:t>okybės vadovą):</w:t>
      </w:r>
    </w:p>
    <w:p w:rsidR="009F4EE5" w:rsidRPr="00F04638" w:rsidRDefault="009F4EE5" w:rsidP="001549D9">
      <w:pPr>
        <w:jc w:val="both"/>
        <w:rPr>
          <w:u w:val="single"/>
        </w:rPr>
      </w:pPr>
    </w:p>
    <w:p w:rsidR="00A41B34" w:rsidRPr="001A3F41" w:rsidRDefault="00F04638" w:rsidP="009F4EE5">
      <w:pPr>
        <w:jc w:val="both"/>
        <w:rPr>
          <w:b/>
          <w:u w:val="single"/>
        </w:rPr>
      </w:pPr>
      <w:r>
        <w:t xml:space="preserve">        </w:t>
      </w:r>
      <w:r w:rsidR="00803B10" w:rsidRPr="001549D9">
        <w:t>201</w:t>
      </w:r>
      <w:r w:rsidR="008A77D3" w:rsidRPr="001549D9">
        <w:t>4</w:t>
      </w:r>
      <w:r w:rsidR="00803B10" w:rsidRPr="001549D9">
        <w:t xml:space="preserve"> metais</w:t>
      </w:r>
      <w:r w:rsidR="008A77D3" w:rsidRPr="001549D9">
        <w:t xml:space="preserve"> </w:t>
      </w:r>
      <w:r w:rsidR="00A41B34" w:rsidRPr="001549D9">
        <w:t>pradėtas atnaujinti</w:t>
      </w:r>
      <w:r w:rsidR="001F3352" w:rsidRPr="001549D9">
        <w:t xml:space="preserve"> įstaigos K</w:t>
      </w:r>
      <w:r w:rsidR="00803B10" w:rsidRPr="001549D9">
        <w:t>ok</w:t>
      </w:r>
      <w:r w:rsidR="00AB463D">
        <w:t>ybės vadovas</w:t>
      </w:r>
      <w:r>
        <w:t>. A</w:t>
      </w:r>
      <w:r w:rsidR="00A41B34" w:rsidRPr="001549D9">
        <w:t>tlikti 3</w:t>
      </w:r>
      <w:r>
        <w:t xml:space="preserve"> planiniai auditai</w:t>
      </w:r>
      <w:r w:rsidR="00A41B34" w:rsidRPr="001549D9">
        <w:t>:</w:t>
      </w:r>
      <w:r w:rsidR="008C1492">
        <w:t xml:space="preserve"> </w:t>
      </w:r>
      <w:r w:rsidR="00A41B34">
        <w:t>GMP pas</w:t>
      </w:r>
      <w:r>
        <w:t xml:space="preserve">laugų kokybė ir savalaikiškumas, </w:t>
      </w:r>
      <w:r w:rsidR="001753AF">
        <w:t xml:space="preserve"> </w:t>
      </w:r>
      <w:r w:rsidRPr="009F4EE5">
        <w:t>mokamų paslaugų teikimo tvarkos ir įkainių auditas</w:t>
      </w:r>
      <w:r>
        <w:t xml:space="preserve"> bei atliktas </w:t>
      </w:r>
      <w:proofErr w:type="spellStart"/>
      <w:r w:rsidRPr="009F4EE5">
        <w:t>odontologinių</w:t>
      </w:r>
      <w:proofErr w:type="spellEnd"/>
      <w:r w:rsidRPr="009F4EE5">
        <w:t xml:space="preserve"> paslaugų vertinimas</w:t>
      </w:r>
      <w:r>
        <w:t xml:space="preserve"> </w:t>
      </w:r>
      <w:r w:rsidR="00A41B34">
        <w:t>Išvadose pažymėta,</w:t>
      </w:r>
      <w:r w:rsidR="001753AF">
        <w:t xml:space="preserve"> </w:t>
      </w:r>
      <w:r w:rsidR="00A41B34">
        <w:t>kad iškvietimai atliekami operatyviai,</w:t>
      </w:r>
      <w:r w:rsidR="001753AF">
        <w:t xml:space="preserve"> </w:t>
      </w:r>
      <w:r w:rsidR="00A41B34">
        <w:t xml:space="preserve">medicininė </w:t>
      </w:r>
      <w:r w:rsidR="006F6F01">
        <w:t>dokumentacija tvarkoma tinkamai,</w:t>
      </w:r>
      <w:r w:rsidR="001753AF">
        <w:t xml:space="preserve"> </w:t>
      </w:r>
      <w:r w:rsidR="00A41B34">
        <w:t>GMP neturi paslaugų teikimo aprašo</w:t>
      </w:r>
      <w:r w:rsidR="001A3F41">
        <w:t xml:space="preserve">, taip pat nėra </w:t>
      </w:r>
      <w:r w:rsidR="008C1492" w:rsidRPr="009F4EE5">
        <w:t xml:space="preserve">mokamų </w:t>
      </w:r>
      <w:r w:rsidR="001A3F41">
        <w:t xml:space="preserve">paslaugų teikimo tvarkos aprašo bei </w:t>
      </w:r>
      <w:proofErr w:type="spellStart"/>
      <w:r w:rsidR="00E43E51" w:rsidRPr="009F4EE5">
        <w:t>odontologinių</w:t>
      </w:r>
      <w:proofErr w:type="spellEnd"/>
      <w:r w:rsidR="00E43E51" w:rsidRPr="009F4EE5">
        <w:t xml:space="preserve"> paslaugų teikimo tvarkos aprašo.</w:t>
      </w:r>
    </w:p>
    <w:p w:rsidR="007D79DA" w:rsidRPr="009F4EE5" w:rsidRDefault="001A3F41" w:rsidP="009F4EE5">
      <w:pPr>
        <w:jc w:val="both"/>
      </w:pPr>
      <w:r>
        <w:t xml:space="preserve">        </w:t>
      </w:r>
      <w:r w:rsidR="007D79DA" w:rsidRPr="009F4EE5">
        <w:t>Neplaninių auditų nebuvo</w:t>
      </w:r>
      <w:r w:rsidR="009F4EE5">
        <w:t>,</w:t>
      </w:r>
      <w:r w:rsidR="004535E2">
        <w:t xml:space="preserve"> </w:t>
      </w:r>
      <w:r w:rsidR="009F4EE5">
        <w:rPr>
          <w:color w:val="C00000"/>
        </w:rPr>
        <w:t xml:space="preserve"> </w:t>
      </w:r>
      <w:r w:rsidR="009F4EE5" w:rsidRPr="009F4EE5">
        <w:t>n</w:t>
      </w:r>
      <w:r w:rsidR="007D79DA" w:rsidRPr="009F4EE5">
        <w:t>eatitikčių neužregistruota</w:t>
      </w:r>
      <w:r w:rsidR="009F4EE5" w:rsidRPr="009F4EE5">
        <w:t>.</w:t>
      </w:r>
    </w:p>
    <w:p w:rsidR="007F70D6" w:rsidRDefault="001A3F41" w:rsidP="009F4EE5">
      <w:pPr>
        <w:jc w:val="both"/>
      </w:pPr>
      <w:r>
        <w:t xml:space="preserve">        </w:t>
      </w:r>
      <w:r w:rsidR="007F70D6" w:rsidRPr="009F4EE5">
        <w:t>Centre įdiegtos 3 naujos procedūros:</w:t>
      </w:r>
      <w:r>
        <w:t xml:space="preserve"> </w:t>
      </w:r>
      <w:r w:rsidR="007F70D6">
        <w:t>GMP p</w:t>
      </w:r>
      <w:r>
        <w:t xml:space="preserve">aslaugų teikimo tvarkos aprašas, </w:t>
      </w:r>
      <w:r w:rsidR="00B1726E">
        <w:t>M</w:t>
      </w:r>
      <w:r w:rsidR="001753AF">
        <w:t>okamų paslaugų t</w:t>
      </w:r>
      <w:r>
        <w:t xml:space="preserve">eikimo aprašas bei </w:t>
      </w:r>
      <w:proofErr w:type="spellStart"/>
      <w:r w:rsidR="00B1726E">
        <w:t>O</w:t>
      </w:r>
      <w:r w:rsidR="007F70D6">
        <w:t>dontologinių</w:t>
      </w:r>
      <w:proofErr w:type="spellEnd"/>
      <w:r w:rsidR="007F70D6">
        <w:t xml:space="preserve"> paslaugų teikimo tvarkos aprašas.</w:t>
      </w:r>
    </w:p>
    <w:p w:rsidR="0000321B" w:rsidRDefault="00E26A43" w:rsidP="00533ABC">
      <w:pPr>
        <w:jc w:val="both"/>
      </w:pPr>
      <w:r>
        <w:t>Sudarytas vidaus medicinin</w:t>
      </w:r>
      <w:r w:rsidR="00F04638">
        <w:t>i</w:t>
      </w:r>
      <w:r>
        <w:t>o audito planas 2015 metams.</w:t>
      </w:r>
    </w:p>
    <w:p w:rsidR="009B2C13" w:rsidRDefault="009B2C13" w:rsidP="00E26A43">
      <w:pPr>
        <w:jc w:val="both"/>
        <w:rPr>
          <w:b/>
          <w:u w:val="single"/>
        </w:rPr>
      </w:pPr>
    </w:p>
    <w:p w:rsidR="00803B10" w:rsidRDefault="00153C46" w:rsidP="00BF5CD1">
      <w:pPr>
        <w:ind w:left="-142"/>
        <w:jc w:val="both"/>
        <w:rPr>
          <w:u w:val="single"/>
        </w:rPr>
      </w:pPr>
      <w:r w:rsidRPr="00BF5CD1">
        <w:rPr>
          <w:u w:val="single"/>
        </w:rPr>
        <w:t>2</w:t>
      </w:r>
      <w:r w:rsidR="00803B10" w:rsidRPr="00BF5CD1">
        <w:rPr>
          <w:u w:val="single"/>
        </w:rPr>
        <w:t>.7. Įsta</w:t>
      </w:r>
      <w:r w:rsidR="00BF5CD1">
        <w:rPr>
          <w:u w:val="single"/>
        </w:rPr>
        <w:t>igos darbuotojų kaitos rodiklis</w:t>
      </w:r>
      <w:r w:rsidR="006245FD">
        <w:rPr>
          <w:u w:val="single"/>
        </w:rPr>
        <w:t>:</w:t>
      </w:r>
    </w:p>
    <w:p w:rsidR="00BF5CD1" w:rsidRPr="00BF5CD1" w:rsidRDefault="00BF5CD1" w:rsidP="00BF5CD1">
      <w:pPr>
        <w:ind w:left="-142"/>
        <w:jc w:val="both"/>
        <w:rPr>
          <w:u w:val="single"/>
        </w:rPr>
      </w:pPr>
    </w:p>
    <w:p w:rsidR="00E01BD0" w:rsidRPr="00C60A84" w:rsidRDefault="00146F66" w:rsidP="00A1334B">
      <w:pPr>
        <w:jc w:val="both"/>
        <w:rPr>
          <w:i/>
        </w:rPr>
      </w:pPr>
      <w:r>
        <w:t xml:space="preserve">       </w:t>
      </w:r>
      <w:r w:rsidR="00E26A43">
        <w:t>2014 metais a</w:t>
      </w:r>
      <w:r w:rsidR="00FA49CB">
        <w:t>tle</w:t>
      </w:r>
      <w:r w:rsidR="008A77D3">
        <w:t>istas 1</w:t>
      </w:r>
      <w:r w:rsidR="00FA49CB">
        <w:t xml:space="preserve"> gydytojas </w:t>
      </w:r>
      <w:proofErr w:type="spellStart"/>
      <w:r w:rsidR="008A77D3">
        <w:t>odontologas</w:t>
      </w:r>
      <w:proofErr w:type="spellEnd"/>
      <w:r w:rsidR="00FA49CB">
        <w:t>.</w:t>
      </w:r>
      <w:r w:rsidR="00233A8A">
        <w:t xml:space="preserve"> Įdarbintos dvi jaunos gydytojos </w:t>
      </w:r>
      <w:proofErr w:type="spellStart"/>
      <w:r w:rsidR="00233A8A">
        <w:t>odontologės</w:t>
      </w:r>
      <w:proofErr w:type="spellEnd"/>
      <w:r w:rsidR="007F70D6">
        <w:t>,</w:t>
      </w:r>
      <w:r w:rsidR="001753AF">
        <w:t xml:space="preserve"> </w:t>
      </w:r>
      <w:r w:rsidR="00053817">
        <w:t>viena šeimos gydytoja,</w:t>
      </w:r>
      <w:r w:rsidR="001753AF">
        <w:t xml:space="preserve"> medicinos </w:t>
      </w:r>
      <w:r w:rsidR="00053817">
        <w:t>auditorius</w:t>
      </w:r>
      <w:r w:rsidR="00E26A43">
        <w:t>,</w:t>
      </w:r>
      <w:r>
        <w:t xml:space="preserve"> </w:t>
      </w:r>
      <w:r w:rsidR="00E26A43">
        <w:t xml:space="preserve">gydytojo </w:t>
      </w:r>
      <w:proofErr w:type="spellStart"/>
      <w:r w:rsidR="00E26A43">
        <w:t>odontologo</w:t>
      </w:r>
      <w:proofErr w:type="spellEnd"/>
      <w:r w:rsidR="00E26A43">
        <w:t xml:space="preserve"> padėjėja,</w:t>
      </w:r>
      <w:r>
        <w:t xml:space="preserve"> </w:t>
      </w:r>
      <w:r w:rsidR="00E26A43">
        <w:t>bendrosios praktikos</w:t>
      </w:r>
      <w:r w:rsidR="000D2E18">
        <w:t xml:space="preserve"> slaugytojos.</w:t>
      </w:r>
    </w:p>
    <w:p w:rsidR="00A23122" w:rsidRPr="00735317" w:rsidRDefault="005E3BD3" w:rsidP="00A23122">
      <w:pPr>
        <w:ind w:left="862"/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</w:t>
      </w:r>
      <w:r w:rsidR="00A23122">
        <w:rPr>
          <w:i/>
        </w:rPr>
        <w:t xml:space="preserve"> lentelė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6"/>
        <w:gridCol w:w="4244"/>
        <w:gridCol w:w="2101"/>
        <w:gridCol w:w="2835"/>
      </w:tblGrid>
      <w:tr w:rsidR="00803B10" w:rsidRPr="00E838A5" w:rsidTr="00BF5CD1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b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 </w:t>
            </w:r>
            <w:r w:rsidRPr="00E838A5">
              <w:rPr>
                <w:rFonts w:eastAsia="Times New Roman"/>
                <w:b/>
                <w:lang w:eastAsia="zh-CN"/>
              </w:rPr>
              <w:t xml:space="preserve">Nr. 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E838A5">
              <w:rPr>
                <w:rFonts w:eastAsia="Times New Roman"/>
                <w:b/>
                <w:bCs/>
                <w:lang w:eastAsia="zh-CN"/>
              </w:rPr>
              <w:t>Darbuotojai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2046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E838A5">
              <w:rPr>
                <w:rFonts w:eastAsia="Times New Roman"/>
                <w:b/>
                <w:bCs/>
                <w:lang w:eastAsia="zh-CN"/>
              </w:rPr>
              <w:t>201</w:t>
            </w:r>
            <w:r w:rsidR="008A77D3">
              <w:rPr>
                <w:rFonts w:eastAsia="Times New Roman"/>
                <w:b/>
                <w:bCs/>
                <w:lang w:eastAsia="zh-CN"/>
              </w:rPr>
              <w:t>4</w:t>
            </w:r>
            <w:r w:rsidRPr="00E838A5">
              <w:rPr>
                <w:rFonts w:eastAsia="Times New Roman"/>
                <w:b/>
                <w:bCs/>
                <w:lang w:eastAsia="zh-CN"/>
              </w:rPr>
              <w:t xml:space="preserve"> m. pradžioje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2046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E838A5">
              <w:rPr>
                <w:rFonts w:eastAsia="Times New Roman"/>
                <w:b/>
                <w:lang w:eastAsia="zh-CN"/>
              </w:rPr>
              <w:t>201</w:t>
            </w:r>
            <w:r w:rsidR="008A77D3">
              <w:rPr>
                <w:rFonts w:eastAsia="Times New Roman"/>
                <w:b/>
                <w:lang w:eastAsia="zh-CN"/>
              </w:rPr>
              <w:t>4</w:t>
            </w:r>
            <w:r w:rsidRPr="00E838A5">
              <w:rPr>
                <w:rFonts w:eastAsia="Times New Roman"/>
                <w:b/>
                <w:lang w:eastAsia="zh-CN"/>
              </w:rPr>
              <w:t xml:space="preserve"> m. pabaigoje</w:t>
            </w:r>
          </w:p>
        </w:tc>
      </w:tr>
      <w:tr w:rsidR="00803B10" w:rsidRPr="00E838A5" w:rsidTr="00BF5CD1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1</w:t>
            </w:r>
            <w:r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Gydytojai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2046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2</w:t>
            </w:r>
            <w:r w:rsidR="00053817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CD1" w:rsidRDefault="00803B10" w:rsidP="00F92046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2</w:t>
            </w:r>
            <w:r w:rsidR="00053817">
              <w:rPr>
                <w:rFonts w:eastAsia="Times New Roman"/>
                <w:lang w:eastAsia="zh-CN"/>
              </w:rPr>
              <w:t>3</w:t>
            </w:r>
          </w:p>
          <w:p w:rsidR="00803B10" w:rsidRPr="00E838A5" w:rsidRDefault="00BF5CD1" w:rsidP="00F92046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(amžiaus </w:t>
            </w:r>
            <w:r w:rsidR="00A52956">
              <w:rPr>
                <w:rFonts w:eastAsia="Times New Roman"/>
                <w:lang w:eastAsia="zh-CN"/>
              </w:rPr>
              <w:t>vidurkis</w:t>
            </w:r>
            <w:r>
              <w:rPr>
                <w:rFonts w:eastAsia="Times New Roman"/>
                <w:lang w:eastAsia="zh-CN"/>
              </w:rPr>
              <w:t xml:space="preserve"> – </w:t>
            </w:r>
            <w:r w:rsidR="00A52956">
              <w:rPr>
                <w:rFonts w:eastAsia="Times New Roman"/>
                <w:lang w:eastAsia="zh-CN"/>
              </w:rPr>
              <w:t>52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="00A52956">
              <w:rPr>
                <w:rFonts w:eastAsia="Times New Roman"/>
                <w:lang w:eastAsia="zh-CN"/>
              </w:rPr>
              <w:t>m</w:t>
            </w:r>
            <w:r>
              <w:rPr>
                <w:rFonts w:eastAsia="Times New Roman"/>
                <w:lang w:eastAsia="zh-CN"/>
              </w:rPr>
              <w:t>.</w:t>
            </w:r>
            <w:r w:rsidR="00A52956">
              <w:rPr>
                <w:rFonts w:eastAsia="Times New Roman"/>
                <w:lang w:eastAsia="zh-CN"/>
              </w:rPr>
              <w:t>)</w:t>
            </w:r>
          </w:p>
        </w:tc>
      </w:tr>
      <w:tr w:rsidR="00803B10" w:rsidRPr="00E838A5" w:rsidTr="00BF5CD1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2</w:t>
            </w:r>
            <w:r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Kiti specialistai su aukštuoju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F92046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9</w:t>
            </w:r>
          </w:p>
        </w:tc>
      </w:tr>
      <w:tr w:rsidR="00803B10" w:rsidRPr="00E838A5" w:rsidTr="00BF5CD1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3</w:t>
            </w:r>
            <w:r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Slaugytojai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053817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2046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6</w:t>
            </w:r>
            <w:r w:rsidR="006A49D8">
              <w:rPr>
                <w:rFonts w:eastAsia="Times New Roman"/>
                <w:lang w:eastAsia="zh-CN"/>
              </w:rPr>
              <w:t>4</w:t>
            </w:r>
          </w:p>
        </w:tc>
      </w:tr>
      <w:tr w:rsidR="00803B10" w:rsidRPr="00E838A5" w:rsidTr="00BF5CD1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4</w:t>
            </w:r>
            <w:r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 xml:space="preserve">Kiti specialistai su </w:t>
            </w:r>
            <w:proofErr w:type="spellStart"/>
            <w:r w:rsidRPr="00E838A5">
              <w:rPr>
                <w:rFonts w:eastAsia="Times New Roman"/>
                <w:lang w:eastAsia="zh-CN"/>
              </w:rPr>
              <w:t>spec</w:t>
            </w:r>
            <w:proofErr w:type="spellEnd"/>
            <w:r w:rsidRPr="00E838A5">
              <w:rPr>
                <w:rFonts w:eastAsia="Times New Roman"/>
                <w:lang w:eastAsia="zh-CN"/>
              </w:rPr>
              <w:t>. viduriniu išsilavinimu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053817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F92046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6</w:t>
            </w:r>
          </w:p>
        </w:tc>
      </w:tr>
      <w:tr w:rsidR="00803B10" w:rsidRPr="00E838A5" w:rsidTr="00BF5CD1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803B10" w:rsidP="00F90ECE">
            <w:pPr>
              <w:jc w:val="center"/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10" w:rsidRPr="00E838A5" w:rsidRDefault="00803B10" w:rsidP="00F90ECE">
            <w:pPr>
              <w:rPr>
                <w:rFonts w:eastAsia="Times New Roman"/>
                <w:lang w:eastAsia="zh-CN"/>
              </w:rPr>
            </w:pPr>
            <w:r w:rsidRPr="00E838A5">
              <w:rPr>
                <w:rFonts w:eastAsia="Times New Roman"/>
                <w:lang w:eastAsia="zh-CN"/>
              </w:rPr>
              <w:t>Kitas personalas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053817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803B10" w:rsidRPr="00E838A5">
              <w:rPr>
                <w:rFonts w:eastAsia="Times New Roman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10" w:rsidRPr="00E838A5" w:rsidRDefault="00F92046" w:rsidP="00F90ECE">
            <w:pPr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803B10" w:rsidRPr="00E838A5">
              <w:rPr>
                <w:rFonts w:eastAsia="Times New Roman"/>
                <w:lang w:eastAsia="zh-CN"/>
              </w:rPr>
              <w:t>8</w:t>
            </w:r>
          </w:p>
        </w:tc>
      </w:tr>
      <w:tr w:rsidR="00803B10" w:rsidRPr="00E838A5" w:rsidTr="00BF5CD1">
        <w:trPr>
          <w:trHeight w:val="33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10" w:rsidRPr="00E838A5" w:rsidRDefault="00803B10" w:rsidP="00F90ECE">
            <w:pPr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B10" w:rsidRPr="00E838A5" w:rsidRDefault="00803B10" w:rsidP="00F90ECE">
            <w:pPr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lang w:eastAsia="zh-CN"/>
              </w:rPr>
              <w:t>Iš v</w:t>
            </w:r>
            <w:r w:rsidRPr="00E838A5">
              <w:rPr>
                <w:rFonts w:eastAsia="Times New Roman"/>
                <w:b/>
                <w:lang w:eastAsia="zh-CN"/>
              </w:rPr>
              <w:t>iso: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10" w:rsidRPr="008C7C3A" w:rsidRDefault="00803B10" w:rsidP="00F92046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8C7C3A">
              <w:rPr>
                <w:rFonts w:eastAsia="Times New Roman"/>
                <w:b/>
                <w:lang w:eastAsia="zh-CN"/>
              </w:rPr>
              <w:t>1</w:t>
            </w:r>
            <w:r w:rsidR="00053817">
              <w:rPr>
                <w:rFonts w:eastAsia="Times New Roman"/>
                <w:b/>
                <w:lang w:eastAsia="zh-C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10" w:rsidRPr="008C7C3A" w:rsidRDefault="00803B10" w:rsidP="00F92046">
            <w:pPr>
              <w:jc w:val="center"/>
              <w:rPr>
                <w:rFonts w:eastAsia="Times New Roman"/>
                <w:b/>
                <w:lang w:eastAsia="zh-CN"/>
              </w:rPr>
            </w:pPr>
            <w:r w:rsidRPr="008C7C3A">
              <w:rPr>
                <w:rFonts w:eastAsia="Times New Roman"/>
                <w:b/>
                <w:lang w:eastAsia="zh-CN"/>
              </w:rPr>
              <w:t>1</w:t>
            </w:r>
            <w:r w:rsidR="006A49D8">
              <w:rPr>
                <w:rFonts w:eastAsia="Times New Roman"/>
                <w:b/>
                <w:lang w:eastAsia="zh-CN"/>
              </w:rPr>
              <w:t>20</w:t>
            </w:r>
          </w:p>
        </w:tc>
      </w:tr>
    </w:tbl>
    <w:p w:rsidR="00A1334B" w:rsidRDefault="00A1334B" w:rsidP="00A72B4E">
      <w:pPr>
        <w:jc w:val="both"/>
      </w:pPr>
      <w:bookmarkStart w:id="0" w:name="_GoBack"/>
      <w:bookmarkEnd w:id="0"/>
    </w:p>
    <w:p w:rsidR="00803B10" w:rsidRPr="00BF5CD1" w:rsidRDefault="00153C46" w:rsidP="00803B10">
      <w:pPr>
        <w:jc w:val="both"/>
        <w:rPr>
          <w:u w:val="single"/>
        </w:rPr>
      </w:pPr>
      <w:r w:rsidRPr="00BF5CD1">
        <w:rPr>
          <w:u w:val="single"/>
        </w:rPr>
        <w:t>2</w:t>
      </w:r>
      <w:r w:rsidR="00803B10" w:rsidRPr="00BF5CD1">
        <w:rPr>
          <w:u w:val="single"/>
        </w:rPr>
        <w:t>.8. Prioritetinių paslaugų teikimo dinamika (vykdyti sutartyje su TLK numatytas paslaugas):</w:t>
      </w:r>
    </w:p>
    <w:p w:rsidR="00B0016C" w:rsidRPr="00BF5CD1" w:rsidRDefault="00B0016C" w:rsidP="00803B10">
      <w:pPr>
        <w:jc w:val="both"/>
        <w:rPr>
          <w:u w:val="single"/>
        </w:rPr>
      </w:pPr>
    </w:p>
    <w:p w:rsidR="00173017" w:rsidRDefault="00BF5CD1" w:rsidP="006F6F01">
      <w:pPr>
        <w:jc w:val="both"/>
      </w:pPr>
      <w:r>
        <w:t xml:space="preserve">       Nuolat</w:t>
      </w:r>
      <w:r w:rsidR="00803B10">
        <w:t xml:space="preserve"> vykdytos</w:t>
      </w:r>
      <w:r w:rsidR="00803B10" w:rsidRPr="00C02EFC">
        <w:t xml:space="preserve"> sutartyje su TLK numatytos paslaugos</w:t>
      </w:r>
      <w:r w:rsidR="008D6A17">
        <w:t xml:space="preserve">. </w:t>
      </w:r>
      <w:r w:rsidR="00803B10" w:rsidRPr="005E0AA1">
        <w:t>Sveikatos programų, finansuojamų iš privalomojo sveikatos draudimo fondo b</w:t>
      </w:r>
      <w:r w:rsidR="00A23122">
        <w:t xml:space="preserve">iudžeto lėšų, vykdymo rezultatai pateikti </w:t>
      </w:r>
      <w:r w:rsidR="008D6A17">
        <w:rPr>
          <w:i/>
        </w:rPr>
        <w:t>3</w:t>
      </w:r>
      <w:r w:rsidR="00173017">
        <w:rPr>
          <w:i/>
        </w:rPr>
        <w:t xml:space="preserve"> lentelėje.</w:t>
      </w:r>
      <w:r w:rsidR="00173017">
        <w:t xml:space="preserve"> </w:t>
      </w:r>
      <w:r w:rsidR="00173017">
        <w:lastRenderedPageBreak/>
        <w:t>Į</w:t>
      </w:r>
      <w:r w:rsidR="00173017" w:rsidRPr="00173017">
        <w:t>staigos sv</w:t>
      </w:r>
      <w:r w:rsidR="00173017">
        <w:t>e</w:t>
      </w:r>
      <w:r w:rsidR="00233A8A">
        <w:t>ikatos programų vykdymo I pusmečio</w:t>
      </w:r>
      <w:r w:rsidR="00173017">
        <w:t xml:space="preserve"> rezultatai  nedaug skiriasi nuo</w:t>
      </w:r>
      <w:r w:rsidR="00173017" w:rsidRPr="00173017">
        <w:t xml:space="preserve"> Klaipėdos teritorinės ligonių kasos aptarnaujamos </w:t>
      </w:r>
      <w:r w:rsidR="00233A8A">
        <w:t>zonos I pusmečio</w:t>
      </w:r>
      <w:r w:rsidR="00173017">
        <w:t xml:space="preserve"> rezultatų vidurkio</w:t>
      </w:r>
      <w:r w:rsidR="008D6A17">
        <w:t>.</w:t>
      </w:r>
      <w:r w:rsidR="00173017" w:rsidRPr="00173017">
        <w:tab/>
      </w:r>
      <w:r w:rsidR="00173017" w:rsidRPr="00173017">
        <w:tab/>
      </w:r>
    </w:p>
    <w:p w:rsidR="007803DA" w:rsidRDefault="006F6F01" w:rsidP="007803DA">
      <w:pPr>
        <w:jc w:val="both"/>
      </w:pPr>
      <w:r>
        <w:rPr>
          <w:i/>
        </w:rPr>
        <w:t xml:space="preserve">                                                                                                               </w:t>
      </w:r>
      <w:r w:rsidR="008D6A17">
        <w:rPr>
          <w:i/>
        </w:rPr>
        <w:t xml:space="preserve">                               3</w:t>
      </w:r>
      <w:r>
        <w:rPr>
          <w:i/>
        </w:rPr>
        <w:t xml:space="preserve">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2693"/>
        <w:gridCol w:w="2268"/>
      </w:tblGrid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</w:p>
          <w:p w:rsidR="007803DA" w:rsidRDefault="007803D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803DA" w:rsidRDefault="007803D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803DA" w:rsidRDefault="007803DA">
            <w:pPr>
              <w:spacing w:line="276" w:lineRule="auto"/>
              <w:rPr>
                <w:rFonts w:eastAsia="MS Mincho"/>
                <w:b/>
                <w:lang w:eastAsia="en-US"/>
              </w:rPr>
            </w:pPr>
            <w:r>
              <w:rPr>
                <w:b/>
                <w:lang w:eastAsia="en-US"/>
              </w:rPr>
              <w:t>Paslaugos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b/>
                <w:lang w:eastAsia="ja-JP"/>
              </w:rPr>
              <w:t xml:space="preserve">KPSPC įvykdymo vidurkis </w:t>
            </w:r>
            <w:r>
              <w:rPr>
                <w:b/>
                <w:lang w:eastAsia="en-US"/>
              </w:rPr>
              <w:t>(</w:t>
            </w:r>
            <w:r w:rsidR="00B67ADD">
              <w:rPr>
                <w:b/>
                <w:lang w:val="en-US" w:eastAsia="ja-JP"/>
              </w:rPr>
              <w:t>proc.</w:t>
            </w:r>
            <w:r>
              <w:rPr>
                <w:b/>
                <w:lang w:eastAsia="en-US"/>
              </w:rPr>
              <w:t>)</w:t>
            </w:r>
          </w:p>
          <w:p w:rsidR="007803DA" w:rsidRDefault="007803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2014 m.</w:t>
            </w:r>
          </w:p>
          <w:p w:rsidR="007803DA" w:rsidRDefault="007803DA">
            <w:pPr>
              <w:spacing w:line="276" w:lineRule="auto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b/>
                <w:lang w:eastAsia="en-US"/>
              </w:rPr>
              <w:t>I pusmetis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b/>
                <w:lang w:eastAsia="en-US"/>
              </w:rPr>
              <w:t>Klaipėdos TLK</w:t>
            </w:r>
            <w:r w:rsidR="00B67ADD">
              <w:rPr>
                <w:b/>
                <w:lang w:eastAsia="en-US"/>
              </w:rPr>
              <w:t xml:space="preserve"> aptarnaujamos zonos vidurkis (proc.</w:t>
            </w:r>
            <w:r>
              <w:rPr>
                <w:b/>
                <w:lang w:eastAsia="en-US"/>
              </w:rPr>
              <w:t xml:space="preserve">) 2014 m. </w:t>
            </w:r>
          </w:p>
          <w:p w:rsidR="007803DA" w:rsidRDefault="007803DA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b/>
                <w:lang w:eastAsia="en-US"/>
              </w:rPr>
              <w:t>I pusmetis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Pr="008C093A" w:rsidRDefault="007803DA">
            <w:pPr>
              <w:spacing w:line="276" w:lineRule="auto"/>
              <w:jc w:val="center"/>
              <w:rPr>
                <w:rFonts w:eastAsia="MS Mincho"/>
                <w:b/>
                <w:color w:val="000000"/>
                <w:lang w:eastAsia="en-US"/>
              </w:rPr>
            </w:pPr>
            <w:r w:rsidRPr="008C093A">
              <w:rPr>
                <w:b/>
                <w:color w:val="000000"/>
                <w:lang w:eastAsia="en-US"/>
              </w:rPr>
              <w:t>KPSPC absoliutus atlikimo</w:t>
            </w:r>
          </w:p>
          <w:p w:rsidR="007803DA" w:rsidRPr="008C093A" w:rsidRDefault="007803DA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8C093A">
              <w:rPr>
                <w:b/>
                <w:color w:val="000000"/>
                <w:lang w:eastAsia="en-US"/>
              </w:rPr>
              <w:t>skaičius</w:t>
            </w:r>
          </w:p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b/>
                <w:color w:val="000000"/>
                <w:highlight w:val="yellow"/>
                <w:lang w:eastAsia="en-US"/>
              </w:rPr>
            </w:pPr>
            <w:r w:rsidRPr="008C093A">
              <w:rPr>
                <w:b/>
                <w:color w:val="000000"/>
                <w:lang w:eastAsia="en-US"/>
              </w:rPr>
              <w:t>per 2014</w:t>
            </w:r>
            <w:r w:rsidR="008D6A17">
              <w:rPr>
                <w:b/>
                <w:color w:val="000000"/>
                <w:lang w:eastAsia="en-US"/>
              </w:rPr>
              <w:t xml:space="preserve"> </w:t>
            </w:r>
            <w:r w:rsidRPr="008C093A">
              <w:rPr>
                <w:b/>
                <w:color w:val="000000"/>
                <w:lang w:eastAsia="en-US"/>
              </w:rPr>
              <w:t>m.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 xml:space="preserve">Vaikų krūminių dantų dengimo </w:t>
            </w:r>
            <w:proofErr w:type="spellStart"/>
            <w:r>
              <w:rPr>
                <w:lang w:eastAsia="en-US"/>
              </w:rPr>
              <w:t>silantinėmis</w:t>
            </w:r>
            <w:proofErr w:type="spellEnd"/>
            <w:r>
              <w:rPr>
                <w:lang w:eastAsia="en-US"/>
              </w:rPr>
              <w:t xml:space="preserve"> medžiagomis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</w:p>
          <w:p w:rsidR="007803DA" w:rsidRPr="00717C68" w:rsidRDefault="007E639D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  <w:r w:rsidRPr="007E639D">
              <w:rPr>
                <w:color w:val="000000"/>
                <w:lang w:eastAsia="en-US"/>
              </w:rPr>
              <w:t>2334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Gimdos kaklelio piktybinių navikų prevencinė programa (atlikta tepinėlių)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</w:p>
          <w:p w:rsidR="007803DA" w:rsidRPr="00717C68" w:rsidRDefault="007E639D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  <w:r w:rsidRPr="007E639D">
              <w:rPr>
                <w:color w:val="000000"/>
                <w:lang w:eastAsia="en-US"/>
              </w:rPr>
              <w:t>677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Storosios žarnos vėžio ankstyvosios diagnostikos prevencinė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</w:p>
          <w:p w:rsidR="007803DA" w:rsidRPr="00717C68" w:rsidRDefault="007803DA" w:rsidP="007E639D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  <w:r w:rsidRPr="007E639D">
              <w:rPr>
                <w:color w:val="000000"/>
                <w:lang w:eastAsia="en-US"/>
              </w:rPr>
              <w:t>12</w:t>
            </w:r>
            <w:r w:rsidR="007E639D" w:rsidRPr="007E639D">
              <w:rPr>
                <w:color w:val="000000"/>
                <w:lang w:eastAsia="en-US"/>
              </w:rPr>
              <w:t>69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Priešinės liaukos vėžio ankstyvosios diagnostikos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color w:val="000000"/>
                <w:highlight w:val="yellow"/>
                <w:lang w:eastAsia="en-US"/>
              </w:rPr>
            </w:pPr>
          </w:p>
          <w:p w:rsidR="007803DA" w:rsidRPr="00717C68" w:rsidRDefault="007E639D">
            <w:pPr>
              <w:spacing w:line="276" w:lineRule="auto"/>
              <w:jc w:val="center"/>
              <w:rPr>
                <w:rFonts w:eastAsia="MS Mincho"/>
                <w:color w:val="000000"/>
                <w:highlight w:val="yellow"/>
                <w:lang w:eastAsia="en-US"/>
              </w:rPr>
            </w:pPr>
            <w:r w:rsidRPr="007E639D">
              <w:rPr>
                <w:color w:val="000000"/>
                <w:lang w:eastAsia="en-US"/>
              </w:rPr>
              <w:t>645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Asmenų, priskirtų širdies ir kraujagyslių ligų didelės rizikos grupei</w:t>
            </w:r>
            <w:r w:rsidR="008D6A1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</w:p>
          <w:p w:rsidR="007803DA" w:rsidRPr="00717C68" w:rsidRDefault="007E639D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  <w:r w:rsidRPr="007E639D">
              <w:rPr>
                <w:color w:val="000000"/>
                <w:lang w:eastAsia="en-US"/>
              </w:rPr>
              <w:t>1236</w:t>
            </w:r>
          </w:p>
        </w:tc>
      </w:tr>
      <w:tr w:rsidR="007803DA" w:rsidRPr="007803DA" w:rsidTr="001A3F41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3DA" w:rsidRDefault="007803DA">
            <w:pPr>
              <w:spacing w:line="276" w:lineRule="auto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 xml:space="preserve">Atrankinės </w:t>
            </w:r>
            <w:proofErr w:type="spellStart"/>
            <w:r>
              <w:rPr>
                <w:lang w:eastAsia="en-US"/>
              </w:rPr>
              <w:t>mamografijos</w:t>
            </w:r>
            <w:proofErr w:type="spellEnd"/>
            <w:r>
              <w:rPr>
                <w:lang w:eastAsia="en-US"/>
              </w:rPr>
              <w:t xml:space="preserve"> dėl krūties vėžio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3DA" w:rsidRDefault="007803DA">
            <w:pPr>
              <w:spacing w:line="276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DA" w:rsidRPr="00717C68" w:rsidRDefault="007803DA">
            <w:pPr>
              <w:spacing w:line="276" w:lineRule="auto"/>
              <w:jc w:val="center"/>
              <w:rPr>
                <w:rFonts w:eastAsia="MS Mincho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7803DA" w:rsidRPr="00717C68" w:rsidRDefault="007E639D">
            <w:pPr>
              <w:spacing w:line="276" w:lineRule="auto"/>
              <w:jc w:val="center"/>
              <w:rPr>
                <w:rFonts w:eastAsia="MS Mincho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329</w:t>
            </w:r>
          </w:p>
        </w:tc>
      </w:tr>
    </w:tbl>
    <w:p w:rsidR="001753AF" w:rsidRDefault="001753AF" w:rsidP="00803B10">
      <w:pPr>
        <w:jc w:val="both"/>
        <w:rPr>
          <w:u w:val="single"/>
        </w:rPr>
      </w:pPr>
    </w:p>
    <w:p w:rsidR="00A23122" w:rsidRPr="00E01BD0" w:rsidRDefault="008D6A17" w:rsidP="006F6F01">
      <w:pPr>
        <w:jc w:val="both"/>
      </w:pPr>
      <w:r>
        <w:t xml:space="preserve">        </w:t>
      </w:r>
      <w:r w:rsidR="00A23122">
        <w:t xml:space="preserve">Vaikų krūminių dantų dengimo </w:t>
      </w:r>
      <w:proofErr w:type="spellStart"/>
      <w:r w:rsidR="00A23122">
        <w:t>silantinėmis</w:t>
      </w:r>
      <w:proofErr w:type="spellEnd"/>
      <w:r w:rsidR="00A23122">
        <w:t xml:space="preserve"> medžiagomis programos vykdymo rezultatai pateikti </w:t>
      </w:r>
      <w:r>
        <w:rPr>
          <w:i/>
        </w:rPr>
        <w:t>4</w:t>
      </w:r>
      <w:r w:rsidR="006245FD">
        <w:rPr>
          <w:i/>
        </w:rPr>
        <w:t xml:space="preserve"> lentelėje:</w:t>
      </w:r>
    </w:p>
    <w:p w:rsidR="00803B10" w:rsidRPr="00A23122" w:rsidRDefault="006F6F01" w:rsidP="006F6F01">
      <w:pPr>
        <w:ind w:left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</w:t>
      </w:r>
      <w:r w:rsidR="00B0016C">
        <w:rPr>
          <w:i/>
        </w:rPr>
        <w:t xml:space="preserve"> </w:t>
      </w:r>
      <w:r w:rsidR="008D6A17">
        <w:rPr>
          <w:i/>
        </w:rPr>
        <w:t xml:space="preserve">                                         4</w:t>
      </w:r>
      <w:r w:rsidR="00A23122" w:rsidRPr="00A23122">
        <w:rPr>
          <w:i/>
        </w:rPr>
        <w:t xml:space="preserve">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2835"/>
      </w:tblGrid>
      <w:tr w:rsidR="00F361D5" w:rsidRPr="00E8349F" w:rsidTr="001A3F41">
        <w:tc>
          <w:tcPr>
            <w:tcW w:w="4536" w:type="dxa"/>
            <w:shd w:val="clear" w:color="auto" w:fill="auto"/>
          </w:tcPr>
          <w:p w:rsidR="00F361D5" w:rsidRPr="00E8349F" w:rsidRDefault="00F361D5" w:rsidP="00F90ECE">
            <w:pPr>
              <w:jc w:val="center"/>
              <w:rPr>
                <w:b/>
              </w:rPr>
            </w:pPr>
            <w:r w:rsidRPr="00E8349F">
              <w:rPr>
                <w:b/>
              </w:rPr>
              <w:t>Paslaugos pavadinimas</w:t>
            </w:r>
          </w:p>
        </w:tc>
        <w:tc>
          <w:tcPr>
            <w:tcW w:w="2268" w:type="dxa"/>
          </w:tcPr>
          <w:p w:rsidR="00F361D5" w:rsidRPr="00E8349F" w:rsidRDefault="00F361D5" w:rsidP="00F90ECE">
            <w:pPr>
              <w:jc w:val="center"/>
              <w:rPr>
                <w:b/>
              </w:rPr>
            </w:pPr>
            <w:r w:rsidRPr="00E8349F">
              <w:rPr>
                <w:rFonts w:hint="eastAsia"/>
                <w:b/>
                <w:lang w:eastAsia="ja-JP"/>
              </w:rPr>
              <w:t>KPSPC</w:t>
            </w:r>
            <w:r w:rsidRPr="00E8349F">
              <w:rPr>
                <w:b/>
                <w:lang w:eastAsia="ja-JP"/>
              </w:rPr>
              <w:t xml:space="preserve"> įvykdymo vidurkis </w:t>
            </w:r>
            <w:r>
              <w:rPr>
                <w:b/>
              </w:rPr>
              <w:t>(vienetais)</w:t>
            </w:r>
          </w:p>
          <w:p w:rsidR="00F361D5" w:rsidRPr="00E8349F" w:rsidRDefault="00F361D5" w:rsidP="0023205C">
            <w:pPr>
              <w:jc w:val="center"/>
              <w:rPr>
                <w:b/>
                <w:lang w:eastAsia="ja-JP"/>
              </w:rPr>
            </w:pPr>
            <w:r>
              <w:rPr>
                <w:b/>
              </w:rPr>
              <w:t>2013</w:t>
            </w:r>
            <w:r w:rsidRPr="00E8349F">
              <w:rPr>
                <w:b/>
              </w:rPr>
              <w:t xml:space="preserve"> m.</w:t>
            </w:r>
          </w:p>
        </w:tc>
        <w:tc>
          <w:tcPr>
            <w:tcW w:w="2835" w:type="dxa"/>
          </w:tcPr>
          <w:p w:rsidR="00F361D5" w:rsidRPr="008C093A" w:rsidRDefault="00F361D5" w:rsidP="00F90ECE">
            <w:pPr>
              <w:jc w:val="center"/>
              <w:rPr>
                <w:b/>
              </w:rPr>
            </w:pPr>
            <w:r w:rsidRPr="008C093A">
              <w:rPr>
                <w:rFonts w:hint="eastAsia"/>
                <w:b/>
                <w:lang w:eastAsia="ja-JP"/>
              </w:rPr>
              <w:t>KPSPC</w:t>
            </w:r>
            <w:r w:rsidRPr="008C093A">
              <w:rPr>
                <w:b/>
                <w:lang w:eastAsia="ja-JP"/>
              </w:rPr>
              <w:t xml:space="preserve"> įvykdymo vidurkis </w:t>
            </w:r>
            <w:r w:rsidRPr="008C093A">
              <w:rPr>
                <w:b/>
              </w:rPr>
              <w:t>(</w:t>
            </w:r>
            <w:proofErr w:type="spellStart"/>
            <w:r w:rsidRPr="008C093A">
              <w:rPr>
                <w:b/>
                <w:lang w:val="en-US" w:eastAsia="ja-JP"/>
              </w:rPr>
              <w:t>vienetais</w:t>
            </w:r>
            <w:proofErr w:type="spellEnd"/>
            <w:r w:rsidRPr="008C093A">
              <w:rPr>
                <w:b/>
              </w:rPr>
              <w:t>)</w:t>
            </w:r>
          </w:p>
          <w:p w:rsidR="00F361D5" w:rsidRPr="00717C68" w:rsidRDefault="00F361D5" w:rsidP="00BC008F">
            <w:pPr>
              <w:jc w:val="center"/>
              <w:rPr>
                <w:b/>
                <w:highlight w:val="yellow"/>
                <w:lang w:eastAsia="ja-JP"/>
              </w:rPr>
            </w:pPr>
            <w:r w:rsidRPr="008C093A">
              <w:rPr>
                <w:b/>
              </w:rPr>
              <w:t>2014 m.</w:t>
            </w:r>
          </w:p>
        </w:tc>
      </w:tr>
      <w:tr w:rsidR="00F361D5" w:rsidRPr="00E8349F" w:rsidTr="001A3F41">
        <w:tc>
          <w:tcPr>
            <w:tcW w:w="4536" w:type="dxa"/>
            <w:shd w:val="clear" w:color="auto" w:fill="auto"/>
          </w:tcPr>
          <w:p w:rsidR="00F361D5" w:rsidRPr="00E8349F" w:rsidRDefault="00F361D5" w:rsidP="00253BAA">
            <w:r w:rsidRPr="00E8349F">
              <w:t xml:space="preserve">Vaikų krūminių dantų dengimo </w:t>
            </w:r>
            <w:proofErr w:type="spellStart"/>
            <w:r w:rsidRPr="00E8349F">
              <w:t>silantinėmis</w:t>
            </w:r>
            <w:proofErr w:type="spellEnd"/>
            <w:r w:rsidRPr="00E8349F">
              <w:t xml:space="preserve"> medžiagomis programa</w:t>
            </w:r>
          </w:p>
        </w:tc>
        <w:tc>
          <w:tcPr>
            <w:tcW w:w="2268" w:type="dxa"/>
            <w:vAlign w:val="center"/>
          </w:tcPr>
          <w:p w:rsidR="00F361D5" w:rsidRPr="00E8349F" w:rsidRDefault="00F361D5" w:rsidP="0023205C">
            <w:pPr>
              <w:jc w:val="center"/>
            </w:pPr>
            <w:r>
              <w:t>641</w:t>
            </w:r>
          </w:p>
        </w:tc>
        <w:tc>
          <w:tcPr>
            <w:tcW w:w="2835" w:type="dxa"/>
            <w:vAlign w:val="center"/>
          </w:tcPr>
          <w:p w:rsidR="00F361D5" w:rsidRPr="00717C68" w:rsidRDefault="00F361D5" w:rsidP="007E639D">
            <w:pPr>
              <w:jc w:val="center"/>
              <w:rPr>
                <w:highlight w:val="yellow"/>
              </w:rPr>
            </w:pPr>
            <w:r w:rsidRPr="007E639D">
              <w:t>2</w:t>
            </w:r>
            <w:r w:rsidR="007E639D" w:rsidRPr="007E639D">
              <w:t>334</w:t>
            </w:r>
          </w:p>
        </w:tc>
      </w:tr>
    </w:tbl>
    <w:p w:rsidR="00612946" w:rsidRPr="00A23122" w:rsidRDefault="00612946" w:rsidP="00A23122">
      <w:pPr>
        <w:ind w:left="720"/>
        <w:jc w:val="both"/>
        <w:rPr>
          <w:u w:val="single"/>
        </w:rPr>
      </w:pPr>
    </w:p>
    <w:p w:rsidR="00803B10" w:rsidRDefault="008D6A17" w:rsidP="006F6F01">
      <w:pPr>
        <w:jc w:val="both"/>
        <w:rPr>
          <w:i/>
        </w:rPr>
      </w:pPr>
      <w:r>
        <w:t xml:space="preserve">       </w:t>
      </w:r>
      <w:r w:rsidR="00B75697">
        <w:t xml:space="preserve">  </w:t>
      </w:r>
      <w:r>
        <w:t xml:space="preserve"> </w:t>
      </w:r>
      <w:r w:rsidR="00A23122">
        <w:t xml:space="preserve">Ankstyvosios piktybinių navikų diagnostikos vykdymo rezultatai pateikti </w:t>
      </w:r>
      <w:r>
        <w:rPr>
          <w:i/>
        </w:rPr>
        <w:t>5</w:t>
      </w:r>
      <w:r w:rsidR="006245FD">
        <w:rPr>
          <w:i/>
        </w:rPr>
        <w:t xml:space="preserve"> lentelėje:</w:t>
      </w:r>
    </w:p>
    <w:p w:rsidR="00803B10" w:rsidRPr="00A23122" w:rsidRDefault="006F6F01" w:rsidP="006F6F0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</w:t>
      </w:r>
      <w:r w:rsidR="008D6A17">
        <w:rPr>
          <w:i/>
        </w:rPr>
        <w:t xml:space="preserve">                                      </w:t>
      </w:r>
      <w:r w:rsidR="00B0016C">
        <w:rPr>
          <w:i/>
        </w:rPr>
        <w:t xml:space="preserve"> </w:t>
      </w:r>
      <w:r w:rsidR="008D6A17">
        <w:rPr>
          <w:i/>
        </w:rPr>
        <w:t>5</w:t>
      </w:r>
      <w:r w:rsidR="00A23122">
        <w:rPr>
          <w:i/>
        </w:rPr>
        <w:t xml:space="preserve"> lentelė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2127"/>
        <w:gridCol w:w="2835"/>
      </w:tblGrid>
      <w:tr w:rsidR="004233DF" w:rsidRPr="00E8349F" w:rsidTr="008D6A17">
        <w:tc>
          <w:tcPr>
            <w:tcW w:w="2660" w:type="dxa"/>
            <w:shd w:val="clear" w:color="auto" w:fill="auto"/>
          </w:tcPr>
          <w:p w:rsidR="004233DF" w:rsidRPr="00E8349F" w:rsidRDefault="004233DF" w:rsidP="00F90ECE">
            <w:pPr>
              <w:jc w:val="center"/>
              <w:rPr>
                <w:b/>
              </w:rPr>
            </w:pPr>
            <w:r w:rsidRPr="00E8349F">
              <w:rPr>
                <w:b/>
              </w:rPr>
              <w:t>Paslaugos pavadinimas</w:t>
            </w:r>
          </w:p>
        </w:tc>
        <w:tc>
          <w:tcPr>
            <w:tcW w:w="1984" w:type="dxa"/>
          </w:tcPr>
          <w:p w:rsidR="004233DF" w:rsidRPr="00E8349F" w:rsidRDefault="004233DF" w:rsidP="00F90ECE">
            <w:pPr>
              <w:jc w:val="center"/>
              <w:rPr>
                <w:b/>
              </w:rPr>
            </w:pPr>
            <w:r w:rsidRPr="00E8349F">
              <w:rPr>
                <w:rFonts w:hint="eastAsia"/>
                <w:b/>
                <w:lang w:eastAsia="ja-JP"/>
              </w:rPr>
              <w:t>KPSPC</w:t>
            </w:r>
            <w:r>
              <w:rPr>
                <w:b/>
                <w:lang w:eastAsia="ja-JP"/>
              </w:rPr>
              <w:t xml:space="preserve"> diagnozuota (</w:t>
            </w:r>
            <w:proofErr w:type="spellStart"/>
            <w:r w:rsidR="001F3352">
              <w:rPr>
                <w:b/>
                <w:lang w:eastAsia="ja-JP"/>
              </w:rPr>
              <w:t>atv</w:t>
            </w:r>
            <w:proofErr w:type="spellEnd"/>
            <w:r w:rsidR="001F3352">
              <w:rPr>
                <w:b/>
                <w:lang w:eastAsia="ja-JP"/>
              </w:rPr>
              <w:t>.</w:t>
            </w:r>
            <w:r w:rsidR="00B67ADD">
              <w:rPr>
                <w:b/>
                <w:lang w:eastAsia="ja-JP"/>
              </w:rPr>
              <w:t xml:space="preserve"> sk</w:t>
            </w:r>
            <w:r>
              <w:rPr>
                <w:b/>
                <w:lang w:eastAsia="ja-JP"/>
              </w:rPr>
              <w:t>.)</w:t>
            </w:r>
          </w:p>
          <w:p w:rsidR="004233DF" w:rsidRPr="00E8349F" w:rsidRDefault="004233DF" w:rsidP="00462680">
            <w:pPr>
              <w:jc w:val="center"/>
              <w:rPr>
                <w:b/>
                <w:lang w:eastAsia="ja-JP"/>
              </w:rPr>
            </w:pPr>
            <w:r>
              <w:rPr>
                <w:b/>
              </w:rPr>
              <w:t>2012</w:t>
            </w:r>
            <w:r w:rsidRPr="00E8349F">
              <w:rPr>
                <w:b/>
              </w:rPr>
              <w:t xml:space="preserve"> m.</w:t>
            </w:r>
          </w:p>
        </w:tc>
        <w:tc>
          <w:tcPr>
            <w:tcW w:w="2127" w:type="dxa"/>
          </w:tcPr>
          <w:p w:rsidR="004233DF" w:rsidRPr="00E8349F" w:rsidRDefault="004233DF" w:rsidP="00F90ECE">
            <w:pPr>
              <w:jc w:val="center"/>
              <w:rPr>
                <w:b/>
              </w:rPr>
            </w:pPr>
            <w:r w:rsidRPr="00E8349F">
              <w:rPr>
                <w:rFonts w:hint="eastAsia"/>
                <w:b/>
                <w:lang w:eastAsia="ja-JP"/>
              </w:rPr>
              <w:t>KPSPC</w:t>
            </w:r>
            <w:r>
              <w:rPr>
                <w:b/>
                <w:lang w:eastAsia="ja-JP"/>
              </w:rPr>
              <w:t xml:space="preserve"> diagnozuota (</w:t>
            </w:r>
            <w:r w:rsidR="001F3352">
              <w:rPr>
                <w:b/>
                <w:lang w:eastAsia="ja-JP"/>
              </w:rPr>
              <w:t>(</w:t>
            </w:r>
            <w:proofErr w:type="spellStart"/>
            <w:r w:rsidR="001F3352">
              <w:rPr>
                <w:b/>
                <w:lang w:eastAsia="ja-JP"/>
              </w:rPr>
              <w:t>atv</w:t>
            </w:r>
            <w:proofErr w:type="spellEnd"/>
            <w:r w:rsidR="001F3352">
              <w:rPr>
                <w:b/>
                <w:lang w:eastAsia="ja-JP"/>
              </w:rPr>
              <w:t>.</w:t>
            </w:r>
            <w:r w:rsidR="00B67ADD">
              <w:rPr>
                <w:b/>
                <w:lang w:eastAsia="ja-JP"/>
              </w:rPr>
              <w:t xml:space="preserve"> sk</w:t>
            </w:r>
            <w:r w:rsidR="001F3352">
              <w:rPr>
                <w:b/>
                <w:lang w:eastAsia="ja-JP"/>
              </w:rPr>
              <w:t>.)</w:t>
            </w:r>
          </w:p>
          <w:p w:rsidR="004233DF" w:rsidRPr="00E8349F" w:rsidRDefault="004233DF" w:rsidP="00462680">
            <w:pPr>
              <w:jc w:val="center"/>
              <w:rPr>
                <w:b/>
                <w:lang w:eastAsia="ja-JP"/>
              </w:rPr>
            </w:pPr>
            <w:r w:rsidRPr="00E8349F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E8349F">
              <w:rPr>
                <w:b/>
              </w:rPr>
              <w:t xml:space="preserve"> m.</w:t>
            </w:r>
          </w:p>
        </w:tc>
        <w:tc>
          <w:tcPr>
            <w:tcW w:w="2835" w:type="dxa"/>
          </w:tcPr>
          <w:p w:rsidR="004233DF" w:rsidRPr="00181158" w:rsidRDefault="004233DF" w:rsidP="004233DF">
            <w:pPr>
              <w:jc w:val="center"/>
              <w:rPr>
                <w:b/>
              </w:rPr>
            </w:pPr>
            <w:r w:rsidRPr="00181158">
              <w:rPr>
                <w:rFonts w:hint="eastAsia"/>
                <w:b/>
                <w:lang w:eastAsia="ja-JP"/>
              </w:rPr>
              <w:t>KPSPC</w:t>
            </w:r>
            <w:r w:rsidRPr="00181158">
              <w:rPr>
                <w:b/>
                <w:lang w:eastAsia="ja-JP"/>
              </w:rPr>
              <w:t xml:space="preserve"> diagnozuota </w:t>
            </w:r>
            <w:r w:rsidR="00B67ADD">
              <w:rPr>
                <w:b/>
                <w:lang w:eastAsia="ja-JP"/>
              </w:rPr>
              <w:t>(</w:t>
            </w:r>
            <w:proofErr w:type="spellStart"/>
            <w:r w:rsidR="00B67ADD">
              <w:rPr>
                <w:b/>
                <w:lang w:eastAsia="ja-JP"/>
              </w:rPr>
              <w:t>atv.sk</w:t>
            </w:r>
            <w:proofErr w:type="spellEnd"/>
            <w:r w:rsidR="001F3352">
              <w:rPr>
                <w:b/>
                <w:lang w:eastAsia="ja-JP"/>
              </w:rPr>
              <w:t>.)</w:t>
            </w:r>
          </w:p>
          <w:p w:rsidR="004233DF" w:rsidRPr="00181158" w:rsidRDefault="004233DF" w:rsidP="004233DF">
            <w:pPr>
              <w:jc w:val="center"/>
              <w:rPr>
                <w:b/>
              </w:rPr>
            </w:pPr>
            <w:r w:rsidRPr="00181158">
              <w:rPr>
                <w:b/>
              </w:rPr>
              <w:t>2014 m.</w:t>
            </w:r>
            <w:r w:rsidR="001753AF" w:rsidRPr="00181158">
              <w:rPr>
                <w:b/>
              </w:rPr>
              <w:t xml:space="preserve"> </w:t>
            </w:r>
          </w:p>
          <w:p w:rsidR="004233DF" w:rsidRPr="00181158" w:rsidRDefault="004233DF" w:rsidP="00181158">
            <w:pPr>
              <w:jc w:val="center"/>
              <w:rPr>
                <w:b/>
                <w:lang w:eastAsia="ja-JP"/>
              </w:rPr>
            </w:pPr>
            <w:r w:rsidRPr="00181158">
              <w:rPr>
                <w:b/>
              </w:rPr>
              <w:t xml:space="preserve"> </w:t>
            </w:r>
          </w:p>
        </w:tc>
      </w:tr>
      <w:tr w:rsidR="004233DF" w:rsidRPr="00E8349F" w:rsidTr="008D6A17">
        <w:tc>
          <w:tcPr>
            <w:tcW w:w="2660" w:type="dxa"/>
            <w:shd w:val="clear" w:color="auto" w:fill="auto"/>
          </w:tcPr>
          <w:p w:rsidR="004233DF" w:rsidRPr="00E8349F" w:rsidRDefault="004233DF" w:rsidP="00253BAA">
            <w:r>
              <w:t>Ankstyvoji piktybinių navikų diagnostika</w:t>
            </w:r>
          </w:p>
        </w:tc>
        <w:tc>
          <w:tcPr>
            <w:tcW w:w="1984" w:type="dxa"/>
            <w:vAlign w:val="center"/>
          </w:tcPr>
          <w:p w:rsidR="004233DF" w:rsidRPr="00E8349F" w:rsidRDefault="004233DF" w:rsidP="001753AF">
            <w:pPr>
              <w:jc w:val="center"/>
            </w:pPr>
            <w:r>
              <w:t>3</w:t>
            </w:r>
          </w:p>
        </w:tc>
        <w:tc>
          <w:tcPr>
            <w:tcW w:w="2127" w:type="dxa"/>
            <w:vAlign w:val="center"/>
          </w:tcPr>
          <w:p w:rsidR="004233DF" w:rsidRPr="00E8349F" w:rsidRDefault="004233DF" w:rsidP="001753AF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1753AF" w:rsidRPr="00181158" w:rsidRDefault="001753AF" w:rsidP="001753AF">
            <w:pPr>
              <w:jc w:val="center"/>
              <w:rPr>
                <w:sz w:val="10"/>
                <w:szCs w:val="10"/>
              </w:rPr>
            </w:pPr>
          </w:p>
          <w:p w:rsidR="004233DF" w:rsidRPr="00181158" w:rsidRDefault="00181158" w:rsidP="001753AF">
            <w:pPr>
              <w:jc w:val="center"/>
            </w:pPr>
            <w:r w:rsidRPr="00181158">
              <w:t>17</w:t>
            </w:r>
          </w:p>
        </w:tc>
      </w:tr>
    </w:tbl>
    <w:p w:rsidR="00B0016C" w:rsidRDefault="004B7B19" w:rsidP="00803B10">
      <w:pPr>
        <w:jc w:val="both"/>
        <w:rPr>
          <w:u w:val="single"/>
        </w:rPr>
      </w:pPr>
      <w:r w:rsidRPr="008D6A17">
        <w:rPr>
          <w:u w:val="single"/>
        </w:rPr>
        <w:t>2</w:t>
      </w:r>
      <w:r w:rsidR="00803B10" w:rsidRPr="008D6A17">
        <w:rPr>
          <w:u w:val="single"/>
        </w:rPr>
        <w:t>.9. Informacinių technologijų diegimas ir vystymas</w:t>
      </w:r>
      <w:r w:rsidR="006245FD">
        <w:rPr>
          <w:u w:val="single"/>
        </w:rPr>
        <w:t>:</w:t>
      </w:r>
    </w:p>
    <w:p w:rsidR="008D6A17" w:rsidRPr="008D6A17" w:rsidRDefault="008D6A17" w:rsidP="00803B10">
      <w:pPr>
        <w:jc w:val="both"/>
        <w:rPr>
          <w:u w:val="single"/>
        </w:rPr>
      </w:pPr>
    </w:p>
    <w:p w:rsidR="003B0A1B" w:rsidRDefault="008D6A17" w:rsidP="006F6F01">
      <w:pPr>
        <w:jc w:val="both"/>
      </w:pPr>
      <w:r>
        <w:t xml:space="preserve">       </w:t>
      </w:r>
      <w:r w:rsidR="00803B10">
        <w:t>Interneto svetainė n</w:t>
      </w:r>
      <w:r w:rsidR="00803B10" w:rsidRPr="004F77B6">
        <w:t>uolat atnaujinama</w:t>
      </w:r>
      <w:r w:rsidR="00803B10">
        <w:t xml:space="preserve"> ir papildoma aktual</w:t>
      </w:r>
      <w:r>
        <w:t xml:space="preserve">ia informacija gyventojams. </w:t>
      </w:r>
      <w:proofErr w:type="spellStart"/>
      <w:r w:rsidR="00803B10">
        <w:t>Apskaitomybės</w:t>
      </w:r>
      <w:proofErr w:type="spellEnd"/>
      <w:r w:rsidR="00803B10">
        <w:t xml:space="preserve"> darbas vykdomas pag</w:t>
      </w:r>
      <w:r>
        <w:t>al SVEIDROS ir VSAKIS programas.</w:t>
      </w:r>
      <w:r w:rsidR="00803B10">
        <w:t xml:space="preserve"> Įdiegt</w:t>
      </w:r>
      <w:r w:rsidR="0026132A">
        <w:t>os</w:t>
      </w:r>
      <w:r w:rsidR="00803B10">
        <w:t xml:space="preserve"> nauj</w:t>
      </w:r>
      <w:r w:rsidR="0026132A">
        <w:t>os</w:t>
      </w:r>
      <w:r w:rsidR="00803B10">
        <w:t xml:space="preserve"> </w:t>
      </w:r>
      <w:r w:rsidR="00803B10">
        <w:lastRenderedPageBreak/>
        <w:t>SVEIDRA posistemė</w:t>
      </w:r>
      <w:r w:rsidR="0026132A">
        <w:t>s</w:t>
      </w:r>
      <w:r w:rsidR="006245FD">
        <w:t>: RSAP (</w:t>
      </w:r>
      <w:r w:rsidR="001F3352">
        <w:t xml:space="preserve">pacientų siuntimo reabilitacijai </w:t>
      </w:r>
      <w:r>
        <w:t>apdorojimo programa</w:t>
      </w:r>
      <w:r w:rsidR="006245FD">
        <w:t>) ir</w:t>
      </w:r>
      <w:r>
        <w:t xml:space="preserve"> </w:t>
      </w:r>
      <w:r w:rsidR="006245FD">
        <w:t xml:space="preserve">APAP </w:t>
      </w:r>
      <w:r w:rsidR="0026132A">
        <w:t xml:space="preserve"> </w:t>
      </w:r>
      <w:r w:rsidR="006245FD">
        <w:t>(</w:t>
      </w:r>
      <w:r w:rsidR="0026132A">
        <w:t>ambulatorinių paslaugų apskaitos posistemė</w:t>
      </w:r>
      <w:r w:rsidR="006245FD">
        <w:t xml:space="preserve">). </w:t>
      </w:r>
      <w:r w:rsidR="0004301A">
        <w:t>Elektroniniai</w:t>
      </w:r>
      <w:r w:rsidR="00803B10">
        <w:t xml:space="preserve"> nedarbingumo bei nėštumo ir gimdymo atostogų  pažymėji</w:t>
      </w:r>
      <w:r w:rsidR="001F3352">
        <w:t>mai išduodami</w:t>
      </w:r>
      <w:r w:rsidR="00803B10">
        <w:t xml:space="preserve"> naudojant įdiegtą EPTS programą</w:t>
      </w:r>
      <w:r w:rsidR="006245FD">
        <w:t xml:space="preserve">. </w:t>
      </w:r>
      <w:r w:rsidR="004233DF">
        <w:t>Įdiegta</w:t>
      </w:r>
      <w:r w:rsidR="003B0A1B">
        <w:t xml:space="preserve"> elektroninės registracijos pacientams sistema (FOXUS)</w:t>
      </w:r>
      <w:r w:rsidR="008A58A1">
        <w:t>.</w:t>
      </w:r>
    </w:p>
    <w:p w:rsidR="00DB4C96" w:rsidRDefault="00DB4C96" w:rsidP="006F6F01">
      <w:pPr>
        <w:jc w:val="both"/>
      </w:pPr>
    </w:p>
    <w:p w:rsidR="00DB4C96" w:rsidRDefault="00DB4C96" w:rsidP="00DB4C96">
      <w:pPr>
        <w:jc w:val="both"/>
        <w:rPr>
          <w:b/>
        </w:rPr>
      </w:pPr>
      <w:r>
        <w:rPr>
          <w:b/>
        </w:rPr>
        <w:t>3. Problemos:</w:t>
      </w:r>
    </w:p>
    <w:p w:rsidR="00DB4C96" w:rsidRDefault="00DB4C96" w:rsidP="00DB4C96">
      <w:pPr>
        <w:jc w:val="both"/>
        <w:rPr>
          <w:b/>
        </w:rPr>
      </w:pPr>
    </w:p>
    <w:p w:rsidR="00DB4C96" w:rsidRPr="00AB463D" w:rsidRDefault="00DB4C96" w:rsidP="00DB4C96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63D">
        <w:rPr>
          <w:rFonts w:ascii="Times New Roman" w:hAnsi="Times New Roman"/>
          <w:sz w:val="24"/>
          <w:szCs w:val="24"/>
        </w:rPr>
        <w:t>Auga senyvo amžiaus žmonių skaičius Kretingos rajone, mažėja prisirašiusių gyventojų ir</w:t>
      </w:r>
    </w:p>
    <w:p w:rsidR="00DB4C96" w:rsidRPr="00AB463D" w:rsidRDefault="00DB4C96" w:rsidP="00DB4C96">
      <w:pPr>
        <w:jc w:val="both"/>
      </w:pPr>
      <w:r w:rsidRPr="00AB463D">
        <w:t xml:space="preserve"> valstybės lėšomis draudžiamų asmenų  skaičius.</w:t>
      </w:r>
    </w:p>
    <w:p w:rsidR="00DB4C96" w:rsidRPr="00AB463D" w:rsidRDefault="00DB4C96" w:rsidP="00DB4C96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63D">
        <w:rPr>
          <w:rFonts w:ascii="Times New Roman" w:hAnsi="Times New Roman"/>
          <w:sz w:val="24"/>
          <w:szCs w:val="24"/>
        </w:rPr>
        <w:t>Nedrausmingi ir neatsakingi Lietuvos Respublikos piliečiai, prisirašę prie Kretingos PSPC,</w:t>
      </w:r>
    </w:p>
    <w:p w:rsidR="00DB4C96" w:rsidRPr="00AB463D" w:rsidRDefault="00DB4C96" w:rsidP="00DB4C96">
      <w:pPr>
        <w:jc w:val="both"/>
      </w:pPr>
      <w:r w:rsidRPr="00AB463D">
        <w:t>sulaukę 18 m. amžiaus  nesusitvarko savo sveikatos draudimo dokumentų TLK.</w:t>
      </w:r>
    </w:p>
    <w:p w:rsidR="00DB4C96" w:rsidRPr="00AB463D" w:rsidRDefault="00DB4C96" w:rsidP="00DB4C96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63D">
        <w:rPr>
          <w:rFonts w:ascii="Times New Roman" w:hAnsi="Times New Roman"/>
          <w:sz w:val="24"/>
          <w:szCs w:val="24"/>
        </w:rPr>
        <w:t>Senas ir nusidėvėjęs GMP automobilių parkas, sąlygojantis dažnus autotransporto gedimus,</w:t>
      </w:r>
    </w:p>
    <w:p w:rsidR="00DB4C96" w:rsidRPr="00AB463D" w:rsidRDefault="00DB4C96" w:rsidP="00DB4C96">
      <w:pPr>
        <w:jc w:val="both"/>
      </w:pPr>
      <w:r w:rsidRPr="00AB463D">
        <w:t>kurie ypač pasireiškia žiemos periodu, riboja galimybes u</w:t>
      </w:r>
      <w:r w:rsidR="006245FD">
        <w:t>žtikrinti gyventojams savalaikes</w:t>
      </w:r>
      <w:r w:rsidRPr="00AB463D">
        <w:t xml:space="preserve"> ir kokybiškas paslaugas.</w:t>
      </w:r>
    </w:p>
    <w:p w:rsidR="00DB4C96" w:rsidRPr="00AB463D" w:rsidRDefault="00DB4C96" w:rsidP="00DB4C96">
      <w:pPr>
        <w:pStyle w:val="Sraopastrai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B463D">
        <w:rPr>
          <w:rFonts w:ascii="Times New Roman" w:hAnsi="Times New Roman"/>
          <w:sz w:val="24"/>
          <w:szCs w:val="24"/>
        </w:rPr>
        <w:t>Nepakankamos  prevencinių programų apimtys, tai  pagerinus leistų  sumažinti gyventojų</w:t>
      </w:r>
    </w:p>
    <w:p w:rsidR="00DB4C96" w:rsidRPr="00AB463D" w:rsidRDefault="00DB4C96" w:rsidP="00DB4C96">
      <w:pPr>
        <w:jc w:val="both"/>
        <w:rPr>
          <w:color w:val="C00000"/>
        </w:rPr>
      </w:pPr>
      <w:r w:rsidRPr="00AB463D">
        <w:t>sergamumą  lėtinėmis neinfekcinėmis ligomis ir ilginti jų kokybiško gyvenimo trukmę.</w:t>
      </w:r>
    </w:p>
    <w:p w:rsidR="00DB4C96" w:rsidRPr="00AB463D" w:rsidRDefault="00DB4C96" w:rsidP="00DB4C96">
      <w:pPr>
        <w:jc w:val="both"/>
        <w:rPr>
          <w:b/>
        </w:rPr>
      </w:pPr>
      <w:r w:rsidRPr="00AB463D">
        <w:t xml:space="preserve">      Atsižvelgdami į gyventojų apklausos duomenis, stengsim</w:t>
      </w:r>
      <w:r w:rsidR="006245FD">
        <w:t xml:space="preserve">ės spręsti iškilusias problemas </w:t>
      </w:r>
      <w:r w:rsidR="006245FD" w:rsidRPr="009F4EE5">
        <w:t xml:space="preserve">– </w:t>
      </w:r>
      <w:r w:rsidR="006245FD">
        <w:t xml:space="preserve"> </w:t>
      </w:r>
      <w:r w:rsidRPr="00AB463D">
        <w:t xml:space="preserve"> gerinsime</w:t>
      </w:r>
      <w:r w:rsidR="006245FD">
        <w:t xml:space="preserve"> </w:t>
      </w:r>
      <w:r w:rsidRPr="00AB463D">
        <w:t xml:space="preserve"> teikiamų paslaugų  kokybę, didinsime gyventojų pasitenkinimo lygį, stengsimės mažinti eilių pas gydytoją trukmę.</w:t>
      </w:r>
    </w:p>
    <w:p w:rsidR="00DB4C96" w:rsidRPr="00AB463D" w:rsidRDefault="00DB4C96" w:rsidP="00DB4C96">
      <w:pPr>
        <w:jc w:val="both"/>
      </w:pPr>
    </w:p>
    <w:p w:rsidR="00DB4C96" w:rsidRDefault="004535E2" w:rsidP="00DB4C96">
      <w:pPr>
        <w:jc w:val="both"/>
        <w:rPr>
          <w:b/>
        </w:rPr>
      </w:pPr>
      <w:r>
        <w:rPr>
          <w:b/>
        </w:rPr>
        <w:t>4</w:t>
      </w:r>
      <w:r w:rsidR="00DB4C96">
        <w:rPr>
          <w:b/>
        </w:rPr>
        <w:t>. Vadovo indėlis tobulinant įstaigos administravimą</w:t>
      </w:r>
    </w:p>
    <w:p w:rsidR="00DB4C96" w:rsidRDefault="00DB4C96" w:rsidP="00DB4C96">
      <w:pPr>
        <w:jc w:val="both"/>
        <w:rPr>
          <w:b/>
        </w:rPr>
      </w:pPr>
    </w:p>
    <w:p w:rsidR="00DB4C96" w:rsidRDefault="00DB4C96" w:rsidP="00DB4C96">
      <w:pPr>
        <w:jc w:val="both"/>
      </w:pPr>
      <w:r>
        <w:t xml:space="preserve">      </w:t>
      </w:r>
      <w:r w:rsidR="00B75697">
        <w:t xml:space="preserve"> </w:t>
      </w:r>
      <w:r>
        <w:t>Vykdomi sutartiniai įsipareigojimai su Klaipėdos TLK.</w:t>
      </w:r>
    </w:p>
    <w:p w:rsidR="00DB4C96" w:rsidRDefault="00DB4C96" w:rsidP="00DB4C96">
      <w:pPr>
        <w:jc w:val="both"/>
      </w:pPr>
      <w:r>
        <w:t>Įvykdytas numatytas planinis Medicinos personalo kvalifikacijos kėlimas.</w:t>
      </w:r>
    </w:p>
    <w:p w:rsidR="00DB4C96" w:rsidRDefault="00DB4C96" w:rsidP="00DB4C96">
      <w:pPr>
        <w:jc w:val="both"/>
      </w:pPr>
      <w:r>
        <w:t>2014 metais pradėtas atnaujinti  Centro  Kokybės vadovas.  2014 metais atlikti 3 planiniai auditai</w:t>
      </w:r>
      <w:r>
        <w:rPr>
          <w:u w:val="single"/>
        </w:rPr>
        <w:t xml:space="preserve">: </w:t>
      </w:r>
      <w:r>
        <w:t xml:space="preserve">GMP paslaugų kokybės ir savalaikiškumo auditas, mokamų paslaugų teikimo tvarkos ir įkainių auditas, </w:t>
      </w:r>
      <w:proofErr w:type="spellStart"/>
      <w:r>
        <w:t>odontologinių</w:t>
      </w:r>
      <w:proofErr w:type="spellEnd"/>
      <w:r>
        <w:t xml:space="preserve"> paslaugų auditas. Centre įdiegtos 3 naujos procedūros: GMP paslaugų teikimo tvarkos</w:t>
      </w:r>
      <w:r w:rsidR="00B75697">
        <w:t xml:space="preserve"> aprašas</w:t>
      </w:r>
      <w:r>
        <w:t>, Mokamų paslaugų teikimo</w:t>
      </w:r>
      <w:r w:rsidR="00B75697">
        <w:t xml:space="preserve"> aprašas</w:t>
      </w:r>
      <w:r>
        <w:t xml:space="preserve">, </w:t>
      </w:r>
      <w:proofErr w:type="spellStart"/>
      <w:r>
        <w:t>Odontologinių</w:t>
      </w:r>
      <w:proofErr w:type="spellEnd"/>
      <w:r>
        <w:t xml:space="preserve"> paslaugų teikimo tvarkos aprašas.</w:t>
      </w:r>
    </w:p>
    <w:p w:rsidR="00DB4C96" w:rsidRDefault="006245FD" w:rsidP="00DB4C96">
      <w:pPr>
        <w:pStyle w:val="Betarp"/>
        <w:jc w:val="both"/>
      </w:pPr>
      <w:r>
        <w:t xml:space="preserve">      </w:t>
      </w:r>
      <w:r w:rsidR="00DB4C96">
        <w:t xml:space="preserve">Gerinta paslaugų kokybė: atnaujinta biuro ir kompiuterinė įranga, įdarbinti 6 jauni specialistai (1 šeimos gydytoja,  dvi gydytojos  </w:t>
      </w:r>
      <w:proofErr w:type="spellStart"/>
      <w:r w:rsidR="00DB4C96">
        <w:t>odontologės</w:t>
      </w:r>
      <w:proofErr w:type="spellEnd"/>
      <w:r w:rsidR="00DB4C96">
        <w:t xml:space="preserve">, dvi bendrosios praktikos slaugytojos, viena gydytojo  </w:t>
      </w:r>
      <w:proofErr w:type="spellStart"/>
      <w:r w:rsidR="00DB4C96">
        <w:t>o</w:t>
      </w:r>
      <w:r w:rsidR="005E3BD3">
        <w:t>dontologo</w:t>
      </w:r>
      <w:proofErr w:type="spellEnd"/>
      <w:r w:rsidR="005E3BD3">
        <w:t xml:space="preserve"> padėjėja</w:t>
      </w:r>
      <w:r>
        <w:t>)</w:t>
      </w:r>
      <w:r w:rsidR="00DB4C96">
        <w:t xml:space="preserve"> ir medicinos  auditorius.</w:t>
      </w:r>
    </w:p>
    <w:p w:rsidR="00DB4C96" w:rsidRDefault="00DB4C96" w:rsidP="00DB4C96">
      <w:pPr>
        <w:pStyle w:val="Betarp"/>
        <w:jc w:val="both"/>
      </w:pPr>
      <w:r>
        <w:t xml:space="preserve">       Tęsiamas prevencinių programų vykdymas, ypač suaktyvintas darbas su „Asmenų, priskirtų širdies ir kraujagyslių ligų didelės rizikos grupei“ programa.  2013 metais patikrinti 746 </w:t>
      </w:r>
      <w:r w:rsidRPr="00DB4C96">
        <w:t>asmenys</w:t>
      </w:r>
      <w:r w:rsidR="006245FD">
        <w:t xml:space="preserve">, o 2014 m. – </w:t>
      </w:r>
      <w:r>
        <w:rPr>
          <w:color w:val="000000"/>
          <w:lang w:eastAsia="en-US"/>
        </w:rPr>
        <w:t>1236</w:t>
      </w:r>
      <w:r w:rsidR="006245FD">
        <w:rPr>
          <w:color w:val="000000"/>
          <w:lang w:eastAsia="en-US"/>
        </w:rPr>
        <w:t xml:space="preserve"> asmenys</w:t>
      </w:r>
      <w:r>
        <w:rPr>
          <w:color w:val="000000"/>
          <w:lang w:eastAsia="en-US"/>
        </w:rPr>
        <w:t>.</w:t>
      </w:r>
    </w:p>
    <w:p w:rsidR="00DB4C96" w:rsidRDefault="006245FD" w:rsidP="00DB4C96">
      <w:pPr>
        <w:pStyle w:val="Betarp"/>
        <w:jc w:val="both"/>
      </w:pPr>
      <w:r>
        <w:t xml:space="preserve">          </w:t>
      </w:r>
      <w:r w:rsidR="00DB4C96">
        <w:t>Didinta darbuotojų motyvacija teikti kokybiškas, pacientų lūkesčius tenkinančias paslaugas: šeimos gydytojams ir slaugytojams už skatinamųjų paslaugų ir svei</w:t>
      </w:r>
      <w:r w:rsidR="00BF5CD1">
        <w:t>katos programų vykdymą nuolat</w:t>
      </w:r>
      <w:r w:rsidR="00DB4C96">
        <w:t xml:space="preserve"> mokėtos priemokos. </w:t>
      </w:r>
    </w:p>
    <w:p w:rsidR="00DB4C96" w:rsidRDefault="00DB4C96" w:rsidP="00DB4C96">
      <w:pPr>
        <w:pStyle w:val="Betarp"/>
        <w:jc w:val="both"/>
      </w:pPr>
      <w:r>
        <w:t xml:space="preserve">          Propaguojant rajone neatlygintiną donorystę, suteikiama darbo vieta Nacionaliniam kraujo centrui vykdyti akciją „Neatlygintina donorystė“.</w:t>
      </w:r>
    </w:p>
    <w:p w:rsidR="00DB4C96" w:rsidRDefault="006245FD" w:rsidP="00DB4C96">
      <w:pPr>
        <w:pStyle w:val="Betarp"/>
        <w:jc w:val="both"/>
      </w:pPr>
      <w:r>
        <w:t xml:space="preserve">        </w:t>
      </w:r>
      <w:r w:rsidR="00DB4C96">
        <w:t xml:space="preserve">  Centre įdiegta  pacientų registracija internetu.</w:t>
      </w:r>
    </w:p>
    <w:p w:rsidR="00DB4C96" w:rsidRDefault="00DB4C96" w:rsidP="00DB4C96">
      <w:pPr>
        <w:ind w:left="720"/>
        <w:jc w:val="both"/>
      </w:pPr>
    </w:p>
    <w:p w:rsidR="00DB4C96" w:rsidRDefault="00523060" w:rsidP="00DB4C96">
      <w:pPr>
        <w:ind w:left="720"/>
        <w:jc w:val="both"/>
      </w:pPr>
      <w:r>
        <w:t xml:space="preserve">                            _________________________________</w:t>
      </w:r>
    </w:p>
    <w:p w:rsidR="006245FD" w:rsidRDefault="006245FD" w:rsidP="00DB4C96">
      <w:pPr>
        <w:ind w:firstLine="142"/>
        <w:jc w:val="both"/>
      </w:pPr>
    </w:p>
    <w:p w:rsidR="008C093A" w:rsidRDefault="008C093A" w:rsidP="00612946">
      <w:pPr>
        <w:ind w:left="720"/>
        <w:jc w:val="center"/>
      </w:pPr>
    </w:p>
    <w:p w:rsidR="008C093A" w:rsidRDefault="008C093A" w:rsidP="00612946">
      <w:pPr>
        <w:ind w:left="720"/>
        <w:jc w:val="center"/>
      </w:pPr>
    </w:p>
    <w:p w:rsidR="008C093A" w:rsidRDefault="008C093A" w:rsidP="00612946">
      <w:pPr>
        <w:ind w:left="720"/>
        <w:jc w:val="center"/>
      </w:pPr>
    </w:p>
    <w:p w:rsidR="008C093A" w:rsidRDefault="008C093A" w:rsidP="00612946">
      <w:pPr>
        <w:ind w:left="720"/>
        <w:jc w:val="center"/>
      </w:pPr>
    </w:p>
    <w:sectPr w:rsidR="008C093A" w:rsidSect="006245FD">
      <w:foot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7F" w:rsidRDefault="00540F7F" w:rsidP="00872400">
      <w:r>
        <w:separator/>
      </w:r>
    </w:p>
  </w:endnote>
  <w:endnote w:type="continuationSeparator" w:id="0">
    <w:p w:rsidR="00540F7F" w:rsidRDefault="00540F7F" w:rsidP="0087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00" w:rsidRDefault="00872400" w:rsidP="006245F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7F" w:rsidRDefault="00540F7F" w:rsidP="00872400">
      <w:r>
        <w:separator/>
      </w:r>
    </w:p>
  </w:footnote>
  <w:footnote w:type="continuationSeparator" w:id="0">
    <w:p w:rsidR="00540F7F" w:rsidRDefault="00540F7F" w:rsidP="0087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9DB"/>
    <w:multiLevelType w:val="hybridMultilevel"/>
    <w:tmpl w:val="2252EAA0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B6C4E96"/>
    <w:multiLevelType w:val="hybridMultilevel"/>
    <w:tmpl w:val="24A64C5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0B863D27"/>
    <w:multiLevelType w:val="hybridMultilevel"/>
    <w:tmpl w:val="C1B86C9E"/>
    <w:lvl w:ilvl="0" w:tplc="4A4C9DAE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D970D07"/>
    <w:multiLevelType w:val="hybridMultilevel"/>
    <w:tmpl w:val="F0823022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17E20"/>
    <w:multiLevelType w:val="hybridMultilevel"/>
    <w:tmpl w:val="8F565F6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CD422A"/>
    <w:multiLevelType w:val="hybridMultilevel"/>
    <w:tmpl w:val="18A621B2"/>
    <w:lvl w:ilvl="0" w:tplc="042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149A1914"/>
    <w:multiLevelType w:val="hybridMultilevel"/>
    <w:tmpl w:val="AE2A0B64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2107C"/>
    <w:multiLevelType w:val="hybridMultilevel"/>
    <w:tmpl w:val="2902BF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92237"/>
    <w:multiLevelType w:val="hybridMultilevel"/>
    <w:tmpl w:val="953ECF86"/>
    <w:lvl w:ilvl="0" w:tplc="042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08A17E5"/>
    <w:multiLevelType w:val="hybridMultilevel"/>
    <w:tmpl w:val="E696B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B7994"/>
    <w:multiLevelType w:val="hybridMultilevel"/>
    <w:tmpl w:val="EE4C5B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609AE"/>
    <w:multiLevelType w:val="hybridMultilevel"/>
    <w:tmpl w:val="F04E8216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C6C4C1C"/>
    <w:multiLevelType w:val="hybridMultilevel"/>
    <w:tmpl w:val="04A4805C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430A2"/>
    <w:multiLevelType w:val="hybridMultilevel"/>
    <w:tmpl w:val="66AEBCFA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34020E5"/>
    <w:multiLevelType w:val="hybridMultilevel"/>
    <w:tmpl w:val="51160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95577"/>
    <w:multiLevelType w:val="hybridMultilevel"/>
    <w:tmpl w:val="55A05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82782"/>
    <w:multiLevelType w:val="hybridMultilevel"/>
    <w:tmpl w:val="9BF8FD42"/>
    <w:lvl w:ilvl="0" w:tplc="49C473D6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59594E"/>
    <w:multiLevelType w:val="hybridMultilevel"/>
    <w:tmpl w:val="A7E81B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45562"/>
    <w:multiLevelType w:val="hybridMultilevel"/>
    <w:tmpl w:val="ADA66482"/>
    <w:lvl w:ilvl="0" w:tplc="042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5E203D5D"/>
    <w:multiLevelType w:val="multilevel"/>
    <w:tmpl w:val="38184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2C1077"/>
    <w:multiLevelType w:val="hybridMultilevel"/>
    <w:tmpl w:val="44501F0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14F9C"/>
    <w:multiLevelType w:val="hybridMultilevel"/>
    <w:tmpl w:val="C6487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F53CE"/>
    <w:multiLevelType w:val="hybridMultilevel"/>
    <w:tmpl w:val="B66A96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277"/>
    <w:multiLevelType w:val="hybridMultilevel"/>
    <w:tmpl w:val="2586D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379C1"/>
    <w:multiLevelType w:val="hybridMultilevel"/>
    <w:tmpl w:val="B448A5A4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742D22D9"/>
    <w:multiLevelType w:val="hybridMultilevel"/>
    <w:tmpl w:val="53402BCC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75EC4190"/>
    <w:multiLevelType w:val="hybridMultilevel"/>
    <w:tmpl w:val="3E8A9D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34756"/>
    <w:multiLevelType w:val="hybridMultilevel"/>
    <w:tmpl w:val="E0A6E808"/>
    <w:lvl w:ilvl="0" w:tplc="49C473D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11"/>
  </w:num>
  <w:num w:numId="5">
    <w:abstractNumId w:val="0"/>
  </w:num>
  <w:num w:numId="6">
    <w:abstractNumId w:val="13"/>
  </w:num>
  <w:num w:numId="7">
    <w:abstractNumId w:val="24"/>
  </w:num>
  <w:num w:numId="8">
    <w:abstractNumId w:val="27"/>
  </w:num>
  <w:num w:numId="9">
    <w:abstractNumId w:val="6"/>
  </w:num>
  <w:num w:numId="10">
    <w:abstractNumId w:val="3"/>
  </w:num>
  <w:num w:numId="11">
    <w:abstractNumId w:val="12"/>
  </w:num>
  <w:num w:numId="12">
    <w:abstractNumId w:val="16"/>
  </w:num>
  <w:num w:numId="13">
    <w:abstractNumId w:val="5"/>
  </w:num>
  <w:num w:numId="14">
    <w:abstractNumId w:val="26"/>
  </w:num>
  <w:num w:numId="15">
    <w:abstractNumId w:val="10"/>
  </w:num>
  <w:num w:numId="16">
    <w:abstractNumId w:val="17"/>
  </w:num>
  <w:num w:numId="17">
    <w:abstractNumId w:val="1"/>
  </w:num>
  <w:num w:numId="18">
    <w:abstractNumId w:val="7"/>
  </w:num>
  <w:num w:numId="19">
    <w:abstractNumId w:val="25"/>
  </w:num>
  <w:num w:numId="20">
    <w:abstractNumId w:val="8"/>
  </w:num>
  <w:num w:numId="21">
    <w:abstractNumId w:val="18"/>
  </w:num>
  <w:num w:numId="22">
    <w:abstractNumId w:val="9"/>
  </w:num>
  <w:num w:numId="23">
    <w:abstractNumId w:val="15"/>
  </w:num>
  <w:num w:numId="24">
    <w:abstractNumId w:val="23"/>
  </w:num>
  <w:num w:numId="25">
    <w:abstractNumId w:val="21"/>
  </w:num>
  <w:num w:numId="26">
    <w:abstractNumId w:val="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6"/>
    <w:rsid w:val="0000321B"/>
    <w:rsid w:val="00011677"/>
    <w:rsid w:val="00014C9B"/>
    <w:rsid w:val="00022EB2"/>
    <w:rsid w:val="000253C0"/>
    <w:rsid w:val="0004301A"/>
    <w:rsid w:val="00053817"/>
    <w:rsid w:val="00053DC8"/>
    <w:rsid w:val="000569F4"/>
    <w:rsid w:val="00070EDD"/>
    <w:rsid w:val="000928FE"/>
    <w:rsid w:val="000D2E18"/>
    <w:rsid w:val="000F3ADD"/>
    <w:rsid w:val="0010085A"/>
    <w:rsid w:val="00117B9A"/>
    <w:rsid w:val="00120F93"/>
    <w:rsid w:val="00146F66"/>
    <w:rsid w:val="00153C46"/>
    <w:rsid w:val="001549D9"/>
    <w:rsid w:val="00163D1C"/>
    <w:rsid w:val="00173017"/>
    <w:rsid w:val="001753AF"/>
    <w:rsid w:val="00181158"/>
    <w:rsid w:val="001A3F41"/>
    <w:rsid w:val="001A6C01"/>
    <w:rsid w:val="001C2E26"/>
    <w:rsid w:val="001D7460"/>
    <w:rsid w:val="001E0AA0"/>
    <w:rsid w:val="001F3352"/>
    <w:rsid w:val="001F3B2D"/>
    <w:rsid w:val="001F43FF"/>
    <w:rsid w:val="001F7C03"/>
    <w:rsid w:val="00202763"/>
    <w:rsid w:val="0020286B"/>
    <w:rsid w:val="0023205C"/>
    <w:rsid w:val="00233A8A"/>
    <w:rsid w:val="00253BAA"/>
    <w:rsid w:val="0026132A"/>
    <w:rsid w:val="00274CE5"/>
    <w:rsid w:val="002A5CDA"/>
    <w:rsid w:val="002B3252"/>
    <w:rsid w:val="002C3716"/>
    <w:rsid w:val="002C5D02"/>
    <w:rsid w:val="002D25F5"/>
    <w:rsid w:val="002F55D1"/>
    <w:rsid w:val="003017CF"/>
    <w:rsid w:val="003134E1"/>
    <w:rsid w:val="003262C4"/>
    <w:rsid w:val="00326AB5"/>
    <w:rsid w:val="00373180"/>
    <w:rsid w:val="0037510F"/>
    <w:rsid w:val="0038031B"/>
    <w:rsid w:val="003908EA"/>
    <w:rsid w:val="00396A0B"/>
    <w:rsid w:val="003A2C29"/>
    <w:rsid w:val="003B0A1B"/>
    <w:rsid w:val="003B1988"/>
    <w:rsid w:val="003D0584"/>
    <w:rsid w:val="003F7E35"/>
    <w:rsid w:val="0041451F"/>
    <w:rsid w:val="0042215E"/>
    <w:rsid w:val="004233DF"/>
    <w:rsid w:val="00427966"/>
    <w:rsid w:val="004535E2"/>
    <w:rsid w:val="00455189"/>
    <w:rsid w:val="00456754"/>
    <w:rsid w:val="0046118F"/>
    <w:rsid w:val="00462680"/>
    <w:rsid w:val="00472452"/>
    <w:rsid w:val="00496ED2"/>
    <w:rsid w:val="0049754E"/>
    <w:rsid w:val="004B7B19"/>
    <w:rsid w:val="00523060"/>
    <w:rsid w:val="00533ABC"/>
    <w:rsid w:val="005341DC"/>
    <w:rsid w:val="00537091"/>
    <w:rsid w:val="00540F7F"/>
    <w:rsid w:val="0054200D"/>
    <w:rsid w:val="00551680"/>
    <w:rsid w:val="005719A4"/>
    <w:rsid w:val="00592B46"/>
    <w:rsid w:val="00592CE3"/>
    <w:rsid w:val="0059543C"/>
    <w:rsid w:val="005B3E8D"/>
    <w:rsid w:val="005B6938"/>
    <w:rsid w:val="005C22CC"/>
    <w:rsid w:val="005C5BD9"/>
    <w:rsid w:val="005E3BD3"/>
    <w:rsid w:val="00612946"/>
    <w:rsid w:val="006245FD"/>
    <w:rsid w:val="006529E3"/>
    <w:rsid w:val="0065729E"/>
    <w:rsid w:val="00681306"/>
    <w:rsid w:val="0069333B"/>
    <w:rsid w:val="00694276"/>
    <w:rsid w:val="006A0F10"/>
    <w:rsid w:val="006A2DD5"/>
    <w:rsid w:val="006A49D8"/>
    <w:rsid w:val="006E721A"/>
    <w:rsid w:val="006F16B6"/>
    <w:rsid w:val="006F1BAD"/>
    <w:rsid w:val="006F4DAA"/>
    <w:rsid w:val="006F6F01"/>
    <w:rsid w:val="007005C9"/>
    <w:rsid w:val="0070168D"/>
    <w:rsid w:val="007025FA"/>
    <w:rsid w:val="0070428A"/>
    <w:rsid w:val="007123F7"/>
    <w:rsid w:val="007130DC"/>
    <w:rsid w:val="007166B8"/>
    <w:rsid w:val="00717C68"/>
    <w:rsid w:val="00722066"/>
    <w:rsid w:val="0072644D"/>
    <w:rsid w:val="00730457"/>
    <w:rsid w:val="007346D1"/>
    <w:rsid w:val="00745EB0"/>
    <w:rsid w:val="007649BF"/>
    <w:rsid w:val="0077095E"/>
    <w:rsid w:val="00777F16"/>
    <w:rsid w:val="007803DA"/>
    <w:rsid w:val="007804F2"/>
    <w:rsid w:val="007959DE"/>
    <w:rsid w:val="007A5852"/>
    <w:rsid w:val="007B0CA9"/>
    <w:rsid w:val="007B77EF"/>
    <w:rsid w:val="007C4BB9"/>
    <w:rsid w:val="007D79DA"/>
    <w:rsid w:val="007E639D"/>
    <w:rsid w:val="007F25AC"/>
    <w:rsid w:val="007F70D6"/>
    <w:rsid w:val="00803B10"/>
    <w:rsid w:val="00821D9B"/>
    <w:rsid w:val="00824C3D"/>
    <w:rsid w:val="008515C5"/>
    <w:rsid w:val="0086455E"/>
    <w:rsid w:val="00866076"/>
    <w:rsid w:val="00867575"/>
    <w:rsid w:val="00872400"/>
    <w:rsid w:val="008A58A1"/>
    <w:rsid w:val="008A77D3"/>
    <w:rsid w:val="008A7F68"/>
    <w:rsid w:val="008C093A"/>
    <w:rsid w:val="008C1492"/>
    <w:rsid w:val="008D6A17"/>
    <w:rsid w:val="008D7D48"/>
    <w:rsid w:val="008E1F59"/>
    <w:rsid w:val="008F55AC"/>
    <w:rsid w:val="008F6F13"/>
    <w:rsid w:val="0090010C"/>
    <w:rsid w:val="009021B9"/>
    <w:rsid w:val="00914666"/>
    <w:rsid w:val="009208CB"/>
    <w:rsid w:val="00942735"/>
    <w:rsid w:val="00944E68"/>
    <w:rsid w:val="0094727F"/>
    <w:rsid w:val="0098444D"/>
    <w:rsid w:val="00994896"/>
    <w:rsid w:val="009B2C13"/>
    <w:rsid w:val="009B4E3D"/>
    <w:rsid w:val="009C3BCC"/>
    <w:rsid w:val="009F4EE5"/>
    <w:rsid w:val="00A0566E"/>
    <w:rsid w:val="00A06251"/>
    <w:rsid w:val="00A1334B"/>
    <w:rsid w:val="00A17409"/>
    <w:rsid w:val="00A23122"/>
    <w:rsid w:val="00A339EC"/>
    <w:rsid w:val="00A41347"/>
    <w:rsid w:val="00A41B34"/>
    <w:rsid w:val="00A52956"/>
    <w:rsid w:val="00A72B4E"/>
    <w:rsid w:val="00A871C3"/>
    <w:rsid w:val="00A92138"/>
    <w:rsid w:val="00AB463D"/>
    <w:rsid w:val="00AF2CAD"/>
    <w:rsid w:val="00AF4D01"/>
    <w:rsid w:val="00AF6010"/>
    <w:rsid w:val="00B0016C"/>
    <w:rsid w:val="00B1726E"/>
    <w:rsid w:val="00B46E67"/>
    <w:rsid w:val="00B67ADD"/>
    <w:rsid w:val="00B7055E"/>
    <w:rsid w:val="00B72D82"/>
    <w:rsid w:val="00B75697"/>
    <w:rsid w:val="00BA246E"/>
    <w:rsid w:val="00BC008F"/>
    <w:rsid w:val="00BD1800"/>
    <w:rsid w:val="00BD1912"/>
    <w:rsid w:val="00BF25DA"/>
    <w:rsid w:val="00BF5CD1"/>
    <w:rsid w:val="00BF6F0F"/>
    <w:rsid w:val="00C27187"/>
    <w:rsid w:val="00C34A86"/>
    <w:rsid w:val="00C421E7"/>
    <w:rsid w:val="00C7207D"/>
    <w:rsid w:val="00C83144"/>
    <w:rsid w:val="00C83EE8"/>
    <w:rsid w:val="00C863A7"/>
    <w:rsid w:val="00C94ED2"/>
    <w:rsid w:val="00CA3AE5"/>
    <w:rsid w:val="00CB7D4F"/>
    <w:rsid w:val="00CD090C"/>
    <w:rsid w:val="00CE18F8"/>
    <w:rsid w:val="00D03844"/>
    <w:rsid w:val="00D10596"/>
    <w:rsid w:val="00D1167E"/>
    <w:rsid w:val="00D461F5"/>
    <w:rsid w:val="00D47537"/>
    <w:rsid w:val="00D50EE0"/>
    <w:rsid w:val="00D52D59"/>
    <w:rsid w:val="00D55B93"/>
    <w:rsid w:val="00DB4C96"/>
    <w:rsid w:val="00DD3691"/>
    <w:rsid w:val="00DD7B79"/>
    <w:rsid w:val="00DF64B5"/>
    <w:rsid w:val="00DF737F"/>
    <w:rsid w:val="00E01BD0"/>
    <w:rsid w:val="00E26A43"/>
    <w:rsid w:val="00E35D68"/>
    <w:rsid w:val="00E43E51"/>
    <w:rsid w:val="00E50F6C"/>
    <w:rsid w:val="00E5276B"/>
    <w:rsid w:val="00E55777"/>
    <w:rsid w:val="00E74AE1"/>
    <w:rsid w:val="00E852E0"/>
    <w:rsid w:val="00EA08CA"/>
    <w:rsid w:val="00ED7AF9"/>
    <w:rsid w:val="00F04638"/>
    <w:rsid w:val="00F23205"/>
    <w:rsid w:val="00F361D5"/>
    <w:rsid w:val="00F51D9A"/>
    <w:rsid w:val="00F7332A"/>
    <w:rsid w:val="00F77B9B"/>
    <w:rsid w:val="00F77EE5"/>
    <w:rsid w:val="00F9091D"/>
    <w:rsid w:val="00F90ECE"/>
    <w:rsid w:val="00F917D8"/>
    <w:rsid w:val="00F92046"/>
    <w:rsid w:val="00FA49CB"/>
    <w:rsid w:val="00FA539F"/>
    <w:rsid w:val="00FA71C9"/>
    <w:rsid w:val="00FF53C7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130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2718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24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72400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724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72400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24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72400"/>
    <w:rPr>
      <w:rFonts w:ascii="Tahoma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8F55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92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EA08C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8130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C27187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24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72400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724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72400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24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72400"/>
    <w:rPr>
      <w:rFonts w:ascii="Tahoma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8F55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092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EA08C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kretingospsp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CC9A-B4C0-4987-A76A-858208D2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11298</Words>
  <Characters>6440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17703</CharactersWithSpaces>
  <SharedDoc>false</SharedDoc>
  <HLinks>
    <vt:vector size="6" baseType="variant">
      <vt:variant>
        <vt:i4>7340100</vt:i4>
      </vt:variant>
      <vt:variant>
        <vt:i4>0</vt:i4>
      </vt:variant>
      <vt:variant>
        <vt:i4>0</vt:i4>
      </vt:variant>
      <vt:variant>
        <vt:i4>5</vt:i4>
      </vt:variant>
      <vt:variant>
        <vt:lpwstr>mailto:info@kretingospspc.lt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6</cp:revision>
  <cp:lastPrinted>2015-03-09T08:03:00Z</cp:lastPrinted>
  <dcterms:created xsi:type="dcterms:W3CDTF">2015-03-19T13:34:00Z</dcterms:created>
  <dcterms:modified xsi:type="dcterms:W3CDTF">2015-03-27T11:24:00Z</dcterms:modified>
</cp:coreProperties>
</file>