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B5" w:rsidRPr="008473EC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92B">
        <w:rPr>
          <w:b/>
          <w:caps/>
          <w:noProof/>
          <w:lang w:eastAsia="lt-LT"/>
        </w:rPr>
        <w:drawing>
          <wp:inline distT="0" distB="0" distL="0" distR="0" wp14:anchorId="0368C625" wp14:editId="65863ADA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757B5" w:rsidRPr="0042292B" w:rsidRDefault="008473EC" w:rsidP="00A757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42292B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757B5" w:rsidRPr="0042292B" w:rsidRDefault="00232364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</w:t>
      </w:r>
      <w:r w:rsidR="00472CA0"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OSIOS ĮSTAIGOS KRETINGOS PSICHIKOS SVEIKATOS 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CENTRO </w:t>
      </w:r>
      <w:r w:rsidR="005B2D53" w:rsidRPr="0042292B">
        <w:rPr>
          <w:rFonts w:ascii="Times New Roman" w:hAnsi="Times New Roman" w:cs="Times New Roman"/>
          <w:b/>
          <w:caps/>
          <w:sz w:val="24"/>
          <w:szCs w:val="24"/>
        </w:rPr>
        <w:t>2015</w:t>
      </w:r>
      <w:r w:rsidR="00936975" w:rsidRPr="0042292B">
        <w:rPr>
          <w:rFonts w:ascii="Times New Roman" w:hAnsi="Times New Roman" w:cs="Times New Roman"/>
          <w:b/>
          <w:caps/>
          <w:sz w:val="24"/>
          <w:szCs w:val="24"/>
        </w:rPr>
        <w:t xml:space="preserve"> METŲ </w:t>
      </w:r>
      <w:r w:rsidRPr="0042292B">
        <w:rPr>
          <w:rFonts w:ascii="Times New Roman" w:hAnsi="Times New Roman" w:cs="Times New Roman"/>
          <w:b/>
          <w:caps/>
          <w:sz w:val="24"/>
          <w:szCs w:val="24"/>
        </w:rPr>
        <w:t>SIEKTINŲ VEIKLOS UŽDUOČIŲ NUSTATYMO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5B2D53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2015</w:t>
      </w:r>
      <w:r w:rsidR="00936975" w:rsidRPr="0042292B">
        <w:rPr>
          <w:rFonts w:ascii="Times New Roman" w:hAnsi="Times New Roman" w:cs="Times New Roman"/>
          <w:sz w:val="24"/>
          <w:szCs w:val="24"/>
        </w:rPr>
        <w:t xml:space="preserve"> m. kovo</w:t>
      </w:r>
      <w:r w:rsidR="00A757B5" w:rsidRPr="0042292B">
        <w:rPr>
          <w:rFonts w:ascii="Times New Roman" w:hAnsi="Times New Roman" w:cs="Times New Roman"/>
          <w:sz w:val="24"/>
          <w:szCs w:val="24"/>
        </w:rPr>
        <w:t xml:space="preserve"> </w:t>
      </w:r>
      <w:r w:rsidR="00405208">
        <w:rPr>
          <w:rFonts w:ascii="Times New Roman" w:hAnsi="Times New Roman" w:cs="Times New Roman"/>
          <w:sz w:val="24"/>
          <w:szCs w:val="24"/>
        </w:rPr>
        <w:t>26</w:t>
      </w:r>
      <w:r w:rsidR="008473EC">
        <w:rPr>
          <w:rFonts w:ascii="Times New Roman" w:hAnsi="Times New Roman" w:cs="Times New Roman"/>
          <w:sz w:val="24"/>
          <w:szCs w:val="24"/>
        </w:rPr>
        <w:t xml:space="preserve"> </w:t>
      </w:r>
      <w:r w:rsidR="00A757B5" w:rsidRPr="0042292B">
        <w:rPr>
          <w:rFonts w:ascii="Times New Roman" w:hAnsi="Times New Roman" w:cs="Times New Roman"/>
          <w:sz w:val="24"/>
          <w:szCs w:val="24"/>
        </w:rPr>
        <w:t xml:space="preserve">d. Nr. </w:t>
      </w:r>
      <w:r w:rsidR="008473EC">
        <w:rPr>
          <w:rFonts w:ascii="Times New Roman" w:hAnsi="Times New Roman" w:cs="Times New Roman"/>
          <w:sz w:val="24"/>
          <w:szCs w:val="24"/>
        </w:rPr>
        <w:t>T</w:t>
      </w:r>
      <w:r w:rsidR="00405208">
        <w:rPr>
          <w:rFonts w:ascii="Times New Roman" w:hAnsi="Times New Roman" w:cs="Times New Roman"/>
          <w:sz w:val="24"/>
          <w:szCs w:val="24"/>
        </w:rPr>
        <w:t>2</w:t>
      </w:r>
      <w:r w:rsidR="008473EC">
        <w:rPr>
          <w:rFonts w:ascii="Times New Roman" w:hAnsi="Times New Roman" w:cs="Times New Roman"/>
          <w:sz w:val="24"/>
          <w:szCs w:val="24"/>
        </w:rPr>
        <w:t>-</w:t>
      </w:r>
      <w:r w:rsidR="00EB21BB">
        <w:rPr>
          <w:rFonts w:ascii="Times New Roman" w:hAnsi="Times New Roman" w:cs="Times New Roman"/>
          <w:sz w:val="24"/>
          <w:szCs w:val="24"/>
        </w:rPr>
        <w:t>64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Kretinga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CA0" w:rsidRPr="0042292B" w:rsidRDefault="00472CA0" w:rsidP="0042292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42292B" w:rsidRPr="0042292B">
        <w:rPr>
          <w:rFonts w:ascii="Times New Roman" w:eastAsia="Times New Roman" w:hAnsi="Times New Roman" w:cs="Times New Roman"/>
          <w:sz w:val="24"/>
          <w:szCs w:val="20"/>
        </w:rPr>
        <w:t xml:space="preserve"> 2011-12-01 įsakymu Nr. V-1019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patvirtinimo“, 7 punktu bei atsižvelgdama į VšĮ Kretingos</w:t>
      </w:r>
      <w:r w:rsidR="00D06FAF" w:rsidRPr="0042292B">
        <w:rPr>
          <w:rFonts w:ascii="Times New Roman" w:eastAsia="Times New Roman" w:hAnsi="Times New Roman" w:cs="Times New Roman"/>
          <w:sz w:val="24"/>
          <w:szCs w:val="20"/>
        </w:rPr>
        <w:t xml:space="preserve"> psichikos sveikatos centro direktoriaus</w:t>
      </w:r>
      <w:r w:rsidR="005B2D53" w:rsidRPr="0042292B">
        <w:rPr>
          <w:rFonts w:ascii="Times New Roman" w:eastAsia="Times New Roman" w:hAnsi="Times New Roman" w:cs="Times New Roman"/>
          <w:sz w:val="24"/>
          <w:szCs w:val="20"/>
        </w:rPr>
        <w:t xml:space="preserve"> 2015</w:t>
      </w:r>
      <w:r w:rsidR="0084101A" w:rsidRPr="0042292B">
        <w:rPr>
          <w:rFonts w:ascii="Times New Roman" w:eastAsia="Times New Roman" w:hAnsi="Times New Roman" w:cs="Times New Roman"/>
          <w:sz w:val="24"/>
          <w:szCs w:val="20"/>
        </w:rPr>
        <w:t>-03-05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 raštą Nr.</w:t>
      </w:r>
      <w:r w:rsidR="00D06FAF" w:rsidRPr="0042292B">
        <w:rPr>
          <w:rFonts w:ascii="Times New Roman" w:eastAsia="Times New Roman" w:hAnsi="Times New Roman" w:cs="Times New Roman"/>
          <w:sz w:val="24"/>
          <w:szCs w:val="20"/>
        </w:rPr>
        <w:t>(3.8)</w:t>
      </w:r>
      <w:r w:rsidR="00EC77A5" w:rsidRPr="0042292B">
        <w:rPr>
          <w:rFonts w:ascii="Times New Roman" w:eastAsia="Times New Roman" w:hAnsi="Times New Roman" w:cs="Times New Roman"/>
          <w:sz w:val="24"/>
          <w:szCs w:val="20"/>
        </w:rPr>
        <w:t>-</w:t>
      </w:r>
      <w:r w:rsidR="0084101A" w:rsidRPr="0042292B">
        <w:rPr>
          <w:rFonts w:ascii="Times New Roman" w:eastAsia="Times New Roman" w:hAnsi="Times New Roman" w:cs="Times New Roman"/>
          <w:sz w:val="24"/>
          <w:szCs w:val="20"/>
        </w:rPr>
        <w:t>SR-70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4229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473E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 xml:space="preserve">1. Nustatyti Kretingos rajono savivaldybės viešosios įstaigos Kretingos psichikos sveikatos </w:t>
      </w:r>
      <w:r w:rsidR="005B2D53" w:rsidRPr="0042292B">
        <w:rPr>
          <w:rFonts w:ascii="Times New Roman" w:eastAsia="Times New Roman" w:hAnsi="Times New Roman" w:cs="Times New Roman"/>
          <w:sz w:val="24"/>
          <w:szCs w:val="20"/>
        </w:rPr>
        <w:t xml:space="preserve"> centro 2015</w:t>
      </w:r>
      <w:r w:rsidRPr="0042292B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472CA0" w:rsidRPr="0042292B" w:rsidRDefault="00472CA0" w:rsidP="0047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2292B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5208" w:rsidRPr="00405208" w:rsidRDefault="00A757B5" w:rsidP="00405208">
      <w:pPr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2292B">
        <w:rPr>
          <w:rFonts w:ascii="Times New Roman" w:hAnsi="Times New Roman" w:cs="Times New Roman"/>
          <w:sz w:val="24"/>
          <w:szCs w:val="24"/>
        </w:rPr>
        <w:t>Savivaldybės meras</w:t>
      </w:r>
      <w:r w:rsidRPr="0042292B">
        <w:rPr>
          <w:rFonts w:ascii="Times New Roman" w:hAnsi="Times New Roman" w:cs="Times New Roman"/>
          <w:sz w:val="24"/>
          <w:szCs w:val="24"/>
        </w:rPr>
        <w:tab/>
      </w:r>
      <w:r w:rsidRPr="0042292B">
        <w:rPr>
          <w:rFonts w:ascii="Times New Roman" w:hAnsi="Times New Roman" w:cs="Times New Roman"/>
          <w:sz w:val="24"/>
          <w:szCs w:val="24"/>
        </w:rPr>
        <w:tab/>
      </w:r>
      <w:r w:rsidRPr="0042292B">
        <w:rPr>
          <w:rFonts w:ascii="Times New Roman" w:hAnsi="Times New Roman" w:cs="Times New Roman"/>
          <w:sz w:val="24"/>
          <w:szCs w:val="24"/>
        </w:rPr>
        <w:tab/>
      </w:r>
      <w:r w:rsidRPr="0042292B">
        <w:rPr>
          <w:rFonts w:ascii="Times New Roman" w:hAnsi="Times New Roman" w:cs="Times New Roman"/>
          <w:sz w:val="24"/>
          <w:szCs w:val="24"/>
        </w:rPr>
        <w:tab/>
      </w:r>
      <w:r w:rsidR="00405208" w:rsidRPr="00405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Juozas Mažeika </w:t>
      </w:r>
    </w:p>
    <w:p w:rsidR="00A757B5" w:rsidRPr="0042292B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ab/>
      </w:r>
      <w:r w:rsidRPr="0042292B">
        <w:rPr>
          <w:rFonts w:ascii="Times New Roman" w:hAnsi="Times New Roman" w:cs="Times New Roman"/>
          <w:sz w:val="24"/>
          <w:szCs w:val="24"/>
        </w:rPr>
        <w:tab/>
      </w:r>
      <w:r w:rsidRPr="0042292B">
        <w:rPr>
          <w:rFonts w:ascii="Times New Roman" w:hAnsi="Times New Roman" w:cs="Times New Roman"/>
          <w:sz w:val="24"/>
          <w:szCs w:val="24"/>
        </w:rPr>
        <w:tab/>
      </w: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757B5" w:rsidRPr="0042292B" w:rsidTr="00EA390A">
        <w:tc>
          <w:tcPr>
            <w:tcW w:w="4927" w:type="dxa"/>
          </w:tcPr>
          <w:p w:rsidR="00A757B5" w:rsidRPr="0042292B" w:rsidRDefault="00A757B5" w:rsidP="00EA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757B5" w:rsidRPr="0042292B" w:rsidRDefault="00A757B5" w:rsidP="00EA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7B5" w:rsidRDefault="00A757B5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A7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08" w:rsidRDefault="00405208" w:rsidP="008473EC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473EC" w:rsidRPr="0042292B" w:rsidRDefault="008473EC" w:rsidP="00847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7F9">
        <w:rPr>
          <w:rFonts w:ascii="Times New Roman" w:eastAsia="Times New Roman" w:hAnsi="Times New Roman" w:cs="Times New Roman"/>
          <w:sz w:val="24"/>
          <w:szCs w:val="20"/>
        </w:rPr>
        <w:t>Vanda Verbutienė</w:t>
      </w: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A757B5" w:rsidRPr="0042292B" w:rsidRDefault="00A757B5" w:rsidP="00A75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201</w:t>
      </w:r>
      <w:r w:rsidR="008130FD" w:rsidRPr="0042292B">
        <w:rPr>
          <w:rFonts w:ascii="Times New Roman" w:hAnsi="Times New Roman" w:cs="Times New Roman"/>
          <w:sz w:val="24"/>
          <w:szCs w:val="24"/>
        </w:rPr>
        <w:t>5</w:t>
      </w:r>
      <w:r w:rsidRPr="0042292B">
        <w:rPr>
          <w:rFonts w:ascii="Times New Roman" w:hAnsi="Times New Roman" w:cs="Times New Roman"/>
          <w:sz w:val="24"/>
          <w:szCs w:val="24"/>
        </w:rPr>
        <w:t xml:space="preserve">  m. kovo</w:t>
      </w:r>
      <w:r w:rsidR="008473EC">
        <w:rPr>
          <w:rFonts w:ascii="Times New Roman" w:hAnsi="Times New Roman" w:cs="Times New Roman"/>
          <w:sz w:val="24"/>
          <w:szCs w:val="24"/>
        </w:rPr>
        <w:t xml:space="preserve"> 26 d. sprendimo Nr.</w:t>
      </w:r>
      <w:r w:rsidR="00F448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73EC">
        <w:rPr>
          <w:rFonts w:ascii="Times New Roman" w:hAnsi="Times New Roman" w:cs="Times New Roman"/>
          <w:sz w:val="24"/>
          <w:szCs w:val="24"/>
        </w:rPr>
        <w:t>T2-</w:t>
      </w:r>
      <w:r w:rsidR="00F4488B">
        <w:rPr>
          <w:rFonts w:ascii="Times New Roman" w:hAnsi="Times New Roman" w:cs="Times New Roman"/>
          <w:sz w:val="24"/>
          <w:szCs w:val="24"/>
        </w:rPr>
        <w:t>64</w:t>
      </w:r>
    </w:p>
    <w:p w:rsidR="00A757B5" w:rsidRPr="0042292B" w:rsidRDefault="00A757B5" w:rsidP="0042292B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hAnsi="Times New Roman" w:cs="Times New Roman"/>
          <w:sz w:val="24"/>
          <w:szCs w:val="24"/>
        </w:rPr>
        <w:t>priedas</w:t>
      </w:r>
    </w:p>
    <w:p w:rsidR="00A757B5" w:rsidRDefault="00A757B5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EC" w:rsidRPr="0042292B" w:rsidRDefault="008473EC" w:rsidP="00A7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A757B5" w:rsidRPr="0042292B" w:rsidRDefault="00A757B5" w:rsidP="00A757B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 xml:space="preserve"> KRETINGOS</w:t>
      </w:r>
      <w:r w:rsidR="008130FD" w:rsidRPr="0042292B">
        <w:rPr>
          <w:rFonts w:ascii="Times New Roman" w:eastAsia="Times New Roman" w:hAnsi="Times New Roman" w:cs="Times New Roman"/>
          <w:b/>
          <w:sz w:val="24"/>
        </w:rPr>
        <w:t xml:space="preserve"> PSICHIKOS SVEIKATOS CENTRO 2015 </w:t>
      </w:r>
      <w:r w:rsidR="00C714E0" w:rsidRPr="0042292B">
        <w:rPr>
          <w:rFonts w:ascii="Times New Roman" w:eastAsia="Times New Roman" w:hAnsi="Times New Roman" w:cs="Times New Roman"/>
          <w:b/>
          <w:sz w:val="24"/>
        </w:rPr>
        <w:t>METŲ SIEKTINOS</w:t>
      </w:r>
      <w:r w:rsidRPr="0042292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57B5" w:rsidRPr="0042292B" w:rsidRDefault="00A757B5" w:rsidP="00A757B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2292B"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A757B5" w:rsidRPr="0042292B" w:rsidRDefault="00A757B5" w:rsidP="00A75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108"/>
        <w:gridCol w:w="116"/>
        <w:gridCol w:w="6060"/>
      </w:tblGrid>
      <w:tr w:rsidR="00232364" w:rsidRPr="0042292B" w:rsidTr="00EA390A">
        <w:tc>
          <w:tcPr>
            <w:tcW w:w="570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08" w:type="dxa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Veiklos užduočių vertinimo rodikliai</w:t>
            </w:r>
          </w:p>
        </w:tc>
        <w:tc>
          <w:tcPr>
            <w:tcW w:w="6176" w:type="dxa"/>
            <w:gridSpan w:val="2"/>
            <w:vAlign w:val="center"/>
          </w:tcPr>
          <w:p w:rsidR="00232364" w:rsidRPr="0042292B" w:rsidRDefault="00232364" w:rsidP="002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Siektinos veiklos užduotys</w:t>
            </w:r>
          </w:p>
        </w:tc>
      </w:tr>
      <w:tr w:rsidR="00232364" w:rsidRPr="0042292B" w:rsidTr="00EA390A">
        <w:tc>
          <w:tcPr>
            <w:tcW w:w="9854" w:type="dxa"/>
            <w:gridSpan w:val="4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Kiekybiniai veiklos vertinimo rodikliai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Finansinis įstaigos veiklos rezultatas.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Siektinas teigiamas Centro finansinės veiklos rodiklis.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darbo užmokesčiui dalis.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Neviršyti darbo užmokesčio normatyvo kartu su mokesčiu SODRAI iki </w:t>
            </w:r>
            <w:r w:rsidR="0084101A" w:rsidRPr="0042292B">
              <w:rPr>
                <w:rFonts w:ascii="Times New Roman" w:eastAsia="Times New Roman" w:hAnsi="Times New Roman" w:cs="Times New Roman"/>
                <w:sz w:val="24"/>
              </w:rPr>
              <w:t>80 proc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Įstaigos sąnaudų valdymo išlaidoms dalis.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valdymo išlaidų dalis neviršytų 18 proc. nuo įstaigos sąnaudų (valdymo išlaidas sudaro direktoriaus ir  vyr. finansininko darbo užmokesčio fondas su mokesčiu SODRAI, jų kvalifikacijai tobulinti ir komandiruotėms skirtos išlaidos).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224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Papildomų finansavimo šaltinių pritraukimas.</w:t>
            </w:r>
          </w:p>
        </w:tc>
        <w:tc>
          <w:tcPr>
            <w:tcW w:w="6060" w:type="dxa"/>
          </w:tcPr>
          <w:p w:rsidR="00232364" w:rsidRPr="0042292B" w:rsidRDefault="00232364" w:rsidP="00232364">
            <w:pPr>
              <w:tabs>
                <w:tab w:val="left" w:pos="387"/>
                <w:tab w:val="left" w:pos="627"/>
              </w:tabs>
              <w:spacing w:after="0" w:line="240" w:lineRule="auto"/>
              <w:ind w:left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 pritraukti kuo daugiau papildomų finansavimo šaltinių: ES ir kitų struktūrinių fondų, profilaktinių programų, mokamų paslaugų, paramos (2 proc. gyventojų pajamų mokestis, labdara ir kt.) bei kitų teisėtai gautų lėšų.</w:t>
            </w:r>
          </w:p>
        </w:tc>
      </w:tr>
      <w:tr w:rsidR="00232364" w:rsidRPr="0042292B" w:rsidTr="00EA390A">
        <w:tc>
          <w:tcPr>
            <w:tcW w:w="9854" w:type="dxa"/>
            <w:gridSpan w:val="4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b/>
                <w:sz w:val="24"/>
              </w:rPr>
              <w:t>Kokybiniai veiklos vertinimo rodikliai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Pacientų pasitenkinimo įstaigos teikiamomis paslaugomis lygis bei pacientų skundų tendencijos.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Paruošti anketas ir raštu apklausti pacientus apie Centro 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>teikiamų paslaugų prieinamumą,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kokybę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pasitenkinimą jomis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 Apibendrinti anketavimo rezultatus ir numatyti priemones pacientų pasiūlymams įgyvendinti ir nurodytiems trūkumams pašalinti.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skundų visai nebūtų ar jų skaičius nedidėtų.  Laiku juos išnagrinėti ir pateikti atsakymus.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Kokybės vadybos sistemos diegimo ir vystymo laipsnis.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Nuolat atnaujinti VšĮ Kretingos psichikos sveikatos centro  Kokybės sistemos vadovą pagal Lietuvos Respublikos SAM reglamentuojančius teisės aktus.</w:t>
            </w:r>
          </w:p>
          <w:p w:rsidR="00232364" w:rsidRPr="0042292B" w:rsidRDefault="001416FC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Paruošti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Psichikos dienos stacionaro veiklos aprašą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 Prireikus</w:t>
            </w:r>
            <w:r w:rsidR="008216BC" w:rsidRPr="0042292B">
              <w:rPr>
                <w:rFonts w:ascii="Times New Roman" w:eastAsia="Times New Roman" w:hAnsi="Times New Roman" w:cs="Times New Roman"/>
                <w:sz w:val="24"/>
              </w:rPr>
              <w:t xml:space="preserve"> patikslinti esamų procedūrų aprašus.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2364" w:rsidRPr="0042292B" w:rsidRDefault="00232364" w:rsidP="00232364">
            <w:pPr>
              <w:tabs>
                <w:tab w:val="left" w:pos="297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Pasiųsti į kokybės vadybos kvalifikacijos tobulinimosi kursus asmenis, atsakingus už Centro kokybės vadybos sistemos diegimą ir vystymą (direktorių). 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Darbuotojų kaitos įstaigoje rodiklis.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Centro specialistų ir kitų darbuotojų žmogiškieji ištekliai užtikrintų teikiamų paslaugų prieinamumą ir kokybę, o jų kaita nepablogintų Centro veiklos ir darbo organizavimo rezultatų.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Prioritetinių paslaugų teikimo dinamika.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kuo daugiau pacientų gautų ambulatorines psichikos sveikatos paslaugas, kuo mažiau siųsti stacionariam gydymui (rodikliai lyginami su praėjusių metų apimtimis).</w:t>
            </w:r>
          </w:p>
          <w:p w:rsidR="00232364" w:rsidRPr="0042292B" w:rsidRDefault="00232364" w:rsidP="00232364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Siekti, kad Centras gautų maksimalų apmokėjimą iš TLK už gerus darbo rodiklius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 xml:space="preserve"> ir skatinamąsias paslaugas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32364" w:rsidRPr="0042292B" w:rsidTr="00EA390A">
        <w:tc>
          <w:tcPr>
            <w:tcW w:w="570" w:type="dxa"/>
          </w:tcPr>
          <w:p w:rsidR="00232364" w:rsidRPr="0042292B" w:rsidRDefault="00232364" w:rsidP="00232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108" w:type="dxa"/>
          </w:tcPr>
          <w:p w:rsidR="00232364" w:rsidRPr="0042292B" w:rsidRDefault="00232364" w:rsidP="002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Informacinių technologijų diegimo ir vystymo lygis.</w:t>
            </w:r>
          </w:p>
        </w:tc>
        <w:tc>
          <w:tcPr>
            <w:tcW w:w="6176" w:type="dxa"/>
            <w:gridSpan w:val="2"/>
          </w:tcPr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Vystyti informacinių technologijų diegimą ir naudojimąsi jomis, vykdyti Lietuvos Respublikos SAM, kituose teisės aktuose numatytus reikalavimus informacinių technologijų 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lastRenderedPageBreak/>
              <w:t>srityje: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1. Nuolat atnaujinti Centro interneto svetainę.</w:t>
            </w:r>
          </w:p>
          <w:p w:rsidR="00232364" w:rsidRPr="0042292B" w:rsidRDefault="00232364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2. Skelbti informaciją apie teikiamas paslaugas ir vykdomas programas (prevencinės programos, siekiant plėsti jų sklaidą; antikorupcinė programa ir antikorupcinės veiklos planas; 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>konsultavimas el.</w:t>
            </w:r>
            <w:r w:rsidR="008B4D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E477D" w:rsidRPr="0042292B">
              <w:rPr>
                <w:rFonts w:ascii="Times New Roman" w:eastAsia="Times New Roman" w:hAnsi="Times New Roman" w:cs="Times New Roman"/>
                <w:sz w:val="24"/>
              </w:rPr>
              <w:t>paštu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 xml:space="preserve"> ir kt.).</w:t>
            </w:r>
          </w:p>
          <w:p w:rsidR="00232364" w:rsidRPr="0042292B" w:rsidRDefault="008D7DB0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Tęsti apskaito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s darbą pagal SVEIDROS, VSAKIS, APAP programas.</w:t>
            </w:r>
          </w:p>
          <w:p w:rsidR="00232364" w:rsidRPr="0042292B" w:rsidRDefault="00483363" w:rsidP="00232364">
            <w:pPr>
              <w:tabs>
                <w:tab w:val="left" w:pos="342"/>
              </w:tabs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292B">
              <w:rPr>
                <w:rFonts w:ascii="Times New Roman" w:eastAsia="Times New Roman" w:hAnsi="Times New Roman" w:cs="Times New Roman"/>
                <w:sz w:val="24"/>
              </w:rPr>
              <w:t>4. Į</w:t>
            </w:r>
            <w:r w:rsidR="00232364" w:rsidRPr="0042292B">
              <w:rPr>
                <w:rFonts w:ascii="Times New Roman" w:eastAsia="Times New Roman" w:hAnsi="Times New Roman" w:cs="Times New Roman"/>
                <w:sz w:val="24"/>
              </w:rPr>
              <w:t>gyvendinti LR Sveikatos apsaugos ministro rekomendac</w:t>
            </w:r>
            <w:r w:rsidR="0042292B">
              <w:rPr>
                <w:rFonts w:ascii="Times New Roman" w:eastAsia="Times New Roman" w:hAnsi="Times New Roman" w:cs="Times New Roman"/>
                <w:sz w:val="24"/>
              </w:rPr>
              <w:t>ijas dėl E-</w:t>
            </w:r>
            <w:r w:rsidRPr="0042292B">
              <w:rPr>
                <w:rFonts w:ascii="Times New Roman" w:eastAsia="Times New Roman" w:hAnsi="Times New Roman" w:cs="Times New Roman"/>
                <w:sz w:val="24"/>
              </w:rPr>
              <w:t>sveikatos įdiegimo ir 2015 m. III ketvirtyje pradėti naudoti šią programą.</w:t>
            </w:r>
          </w:p>
        </w:tc>
      </w:tr>
    </w:tbl>
    <w:p w:rsidR="00232364" w:rsidRPr="0042292B" w:rsidRDefault="00232364" w:rsidP="0023236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A757B5" w:rsidRDefault="00232364" w:rsidP="0042292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42292B">
        <w:rPr>
          <w:rFonts w:ascii="Times New Roman" w:eastAsia="Times New Roman" w:hAnsi="Times New Roman" w:cs="Times New Roman"/>
          <w:sz w:val="24"/>
        </w:rPr>
        <w:t>________________________________________</w:t>
      </w:r>
    </w:p>
    <w:p w:rsidR="00A727F9" w:rsidRDefault="00A727F9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3EC" w:rsidRDefault="008473EC" w:rsidP="00422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473EC" w:rsidSect="008473EC">
      <w:headerReference w:type="firs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A1" w:rsidRDefault="00885CA1">
      <w:pPr>
        <w:spacing w:after="0" w:line="240" w:lineRule="auto"/>
      </w:pPr>
      <w:r>
        <w:separator/>
      </w:r>
    </w:p>
  </w:endnote>
  <w:endnote w:type="continuationSeparator" w:id="0">
    <w:p w:rsidR="00885CA1" w:rsidRDefault="0088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A1" w:rsidRDefault="00885CA1">
      <w:pPr>
        <w:spacing w:after="0" w:line="240" w:lineRule="auto"/>
      </w:pPr>
      <w:r>
        <w:separator/>
      </w:r>
    </w:p>
  </w:footnote>
  <w:footnote w:type="continuationSeparator" w:id="0">
    <w:p w:rsidR="00885CA1" w:rsidRDefault="0088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885CA1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:rsidR="00A26F83" w:rsidRPr="00A26F83" w:rsidRDefault="00EC77A5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D766E1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7"/>
    <w:rsid w:val="000E659D"/>
    <w:rsid w:val="001416FC"/>
    <w:rsid w:val="00161DCB"/>
    <w:rsid w:val="00232364"/>
    <w:rsid w:val="0038271B"/>
    <w:rsid w:val="00404F6F"/>
    <w:rsid w:val="00405208"/>
    <w:rsid w:val="0042292B"/>
    <w:rsid w:val="00464C87"/>
    <w:rsid w:val="00472CA0"/>
    <w:rsid w:val="00483363"/>
    <w:rsid w:val="005B2D53"/>
    <w:rsid w:val="00633FF6"/>
    <w:rsid w:val="00691EA2"/>
    <w:rsid w:val="00716BE0"/>
    <w:rsid w:val="00746DC4"/>
    <w:rsid w:val="007B3C6F"/>
    <w:rsid w:val="008130FD"/>
    <w:rsid w:val="008216BC"/>
    <w:rsid w:val="0084101A"/>
    <w:rsid w:val="008473EC"/>
    <w:rsid w:val="00885CA1"/>
    <w:rsid w:val="008B4D0C"/>
    <w:rsid w:val="008D7DB0"/>
    <w:rsid w:val="008F1964"/>
    <w:rsid w:val="00936975"/>
    <w:rsid w:val="00944E91"/>
    <w:rsid w:val="00996DD6"/>
    <w:rsid w:val="009C1341"/>
    <w:rsid w:val="009E2586"/>
    <w:rsid w:val="009E34B5"/>
    <w:rsid w:val="00A54D6F"/>
    <w:rsid w:val="00A727F9"/>
    <w:rsid w:val="00A757B5"/>
    <w:rsid w:val="00A83169"/>
    <w:rsid w:val="00AC2F70"/>
    <w:rsid w:val="00AF1C67"/>
    <w:rsid w:val="00B443AE"/>
    <w:rsid w:val="00BE477D"/>
    <w:rsid w:val="00C714E0"/>
    <w:rsid w:val="00D06FAF"/>
    <w:rsid w:val="00D53624"/>
    <w:rsid w:val="00E575E5"/>
    <w:rsid w:val="00E866C0"/>
    <w:rsid w:val="00EB21BB"/>
    <w:rsid w:val="00EC77A5"/>
    <w:rsid w:val="00F05E54"/>
    <w:rsid w:val="00F4488B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57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7B5"/>
  </w:style>
  <w:style w:type="table" w:styleId="Lentelstinklelis">
    <w:name w:val="Table Grid"/>
    <w:basedOn w:val="prastojilentel"/>
    <w:uiPriority w:val="59"/>
    <w:rsid w:val="00A7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2015-03-16T14:29:00Z</dcterms:created>
  <dcterms:modified xsi:type="dcterms:W3CDTF">2015-03-27T10:44:00Z</dcterms:modified>
</cp:coreProperties>
</file>