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39120B" w:rsidTr="009D4181">
        <w:trPr>
          <w:trHeight w:val="1985"/>
          <w:tblHeader/>
        </w:trPr>
        <w:tc>
          <w:tcPr>
            <w:tcW w:w="9287" w:type="dxa"/>
          </w:tcPr>
          <w:p w:rsidR="007C65AF" w:rsidRDefault="0039120B" w:rsidP="009D4181">
            <w:pPr>
              <w:jc w:val="righ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</w:t>
            </w:r>
            <w:r w:rsidR="007C65AF">
              <w:t xml:space="preserve">            </w:t>
            </w:r>
          </w:p>
          <w:p w:rsidR="0039120B" w:rsidRPr="007C65AF" w:rsidRDefault="007C65AF" w:rsidP="009D4181">
            <w:pPr>
              <w:jc w:val="right"/>
              <w:rPr>
                <w:b/>
                <w:szCs w:val="24"/>
              </w:rPr>
            </w:pPr>
            <w:r>
              <w:t xml:space="preserve">  </w:t>
            </w:r>
          </w:p>
          <w:p w:rsidR="0039120B" w:rsidRPr="000E0642" w:rsidRDefault="0065398E" w:rsidP="009D4181">
            <w:pPr>
              <w:jc w:val="center"/>
              <w:rPr>
                <w:b/>
                <w:caps/>
                <w:szCs w:val="24"/>
              </w:rPr>
            </w:pPr>
            <w:r>
              <w:rPr>
                <w:b/>
                <w:caps/>
                <w:noProof/>
                <w:szCs w:val="24"/>
                <w:lang w:eastAsia="lt-LT"/>
              </w:rPr>
              <w:drawing>
                <wp:inline distT="0" distB="0" distL="0" distR="0">
                  <wp:extent cx="556260" cy="754380"/>
                  <wp:effectExtent l="0" t="0" r="0" b="762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120B" w:rsidRPr="000E0642" w:rsidRDefault="0039120B" w:rsidP="009D4181">
            <w:pPr>
              <w:jc w:val="center"/>
              <w:rPr>
                <w:b/>
                <w:caps/>
                <w:szCs w:val="24"/>
              </w:rPr>
            </w:pPr>
          </w:p>
          <w:p w:rsidR="0039120B" w:rsidRPr="00374464" w:rsidRDefault="0039120B" w:rsidP="009D4181">
            <w:pPr>
              <w:jc w:val="center"/>
              <w:rPr>
                <w:b/>
                <w:caps/>
                <w:sz w:val="28"/>
                <w:szCs w:val="24"/>
              </w:rPr>
            </w:pPr>
            <w:r w:rsidRPr="00374464">
              <w:rPr>
                <w:b/>
                <w:sz w:val="28"/>
                <w:szCs w:val="24"/>
              </w:rPr>
              <w:t>KRETINGOS RAJONO SAVIVALDYBĖS TARYBA</w:t>
            </w:r>
          </w:p>
          <w:p w:rsidR="0039120B" w:rsidRPr="000E0642" w:rsidRDefault="0039120B" w:rsidP="009D4181">
            <w:pPr>
              <w:jc w:val="center"/>
              <w:rPr>
                <w:b/>
                <w:caps/>
                <w:szCs w:val="24"/>
              </w:rPr>
            </w:pPr>
          </w:p>
          <w:p w:rsidR="0039120B" w:rsidRPr="00374464" w:rsidRDefault="0039120B" w:rsidP="009D4181">
            <w:pPr>
              <w:jc w:val="center"/>
              <w:rPr>
                <w:b/>
                <w:sz w:val="26"/>
                <w:szCs w:val="26"/>
              </w:rPr>
            </w:pPr>
            <w:r w:rsidRPr="00374464">
              <w:rPr>
                <w:b/>
                <w:sz w:val="26"/>
                <w:szCs w:val="26"/>
              </w:rPr>
              <w:t>SPRENDIMAS</w:t>
            </w:r>
          </w:p>
          <w:p w:rsidR="0039120B" w:rsidRPr="00374464" w:rsidRDefault="0039120B" w:rsidP="009D4181">
            <w:pPr>
              <w:jc w:val="center"/>
              <w:rPr>
                <w:b/>
                <w:sz w:val="26"/>
                <w:szCs w:val="26"/>
              </w:rPr>
            </w:pPr>
            <w:r w:rsidRPr="00374464">
              <w:rPr>
                <w:b/>
                <w:bCs/>
                <w:sz w:val="26"/>
                <w:szCs w:val="26"/>
              </w:rPr>
              <w:t>D</w:t>
            </w:r>
            <w:r w:rsidRPr="00374464">
              <w:rPr>
                <w:b/>
                <w:sz w:val="26"/>
                <w:szCs w:val="26"/>
              </w:rPr>
              <w:t xml:space="preserve">ĖL SUTIKIMO PERIMTI TURTĄ </w:t>
            </w:r>
          </w:p>
          <w:p w:rsidR="0039120B" w:rsidRPr="000E0642" w:rsidRDefault="0039120B" w:rsidP="009D4181">
            <w:pPr>
              <w:jc w:val="center"/>
              <w:rPr>
                <w:b/>
                <w:szCs w:val="24"/>
              </w:rPr>
            </w:pPr>
          </w:p>
        </w:tc>
      </w:tr>
    </w:tbl>
    <w:p w:rsidR="0039120B" w:rsidRDefault="0039120B" w:rsidP="0039120B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gruodžio </w:t>
      </w:r>
      <w:r w:rsidR="007C65AF">
        <w:rPr>
          <w:rFonts w:ascii="BaltikaLT" w:hAnsi="BaltikaLT"/>
        </w:rPr>
        <w:t>1</w:t>
      </w:r>
      <w:r w:rsidR="00671EE1">
        <w:rPr>
          <w:rFonts w:ascii="BaltikaLT" w:hAnsi="BaltikaLT"/>
        </w:rPr>
        <w:t>8</w:t>
      </w:r>
      <w:r>
        <w:rPr>
          <w:rFonts w:ascii="BaltikaLT" w:hAnsi="BaltikaLT"/>
        </w:rPr>
        <w:t xml:space="preserve"> d.  Nr. </w:t>
      </w:r>
      <w:r w:rsidR="007C65AF">
        <w:rPr>
          <w:rFonts w:ascii="BaltikaLT" w:hAnsi="BaltikaLT"/>
        </w:rPr>
        <w:t>T</w:t>
      </w:r>
      <w:r w:rsidR="00671EE1">
        <w:rPr>
          <w:rFonts w:ascii="BaltikaLT" w:hAnsi="BaltikaLT"/>
        </w:rPr>
        <w:t>2</w:t>
      </w:r>
      <w:r w:rsidR="007C65AF">
        <w:rPr>
          <w:rFonts w:ascii="BaltikaLT" w:hAnsi="BaltikaLT"/>
        </w:rPr>
        <w:t>-</w:t>
      </w:r>
      <w:r w:rsidR="00A91DE0">
        <w:rPr>
          <w:rFonts w:ascii="BaltikaLT" w:hAnsi="BaltikaLT"/>
        </w:rPr>
        <w:t>396</w:t>
      </w:r>
      <w:bookmarkStart w:id="0" w:name="_GoBack"/>
      <w:bookmarkEnd w:id="0"/>
    </w:p>
    <w:p w:rsidR="0039120B" w:rsidRDefault="0039120B" w:rsidP="0039120B">
      <w:pPr>
        <w:jc w:val="center"/>
      </w:pPr>
      <w:r>
        <w:rPr>
          <w:rFonts w:ascii="BaltikaLT" w:hAnsi="BaltikaLT"/>
        </w:rPr>
        <w:t>Kretinga</w:t>
      </w: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  <w:r>
        <w:tab/>
        <w:t>Vadovaudamasi</w:t>
      </w:r>
      <w:r w:rsidRPr="00543C73">
        <w:t xml:space="preserve"> </w:t>
      </w:r>
      <w:r>
        <w:t>Lietuvos Respublikos vietos savivaldos įstatymo 6 straipsnio 26 punktu, 16 straipsnio 2 dalies 26 punktu, Lietuvos Respublikos valstybės ir savivaldybių turto valdymo, naudojimo ir disponavimo juo įstatymo 6</w:t>
      </w:r>
      <w:r w:rsidRPr="00B646CD">
        <w:t xml:space="preserve"> straipsnio </w:t>
      </w:r>
      <w:r>
        <w:t>2</w:t>
      </w:r>
      <w:r w:rsidRPr="00B646CD">
        <w:t xml:space="preserve"> </w:t>
      </w:r>
      <w:r>
        <w:t>punktu bei atsižvelgdama į Salantų regioninio parko direkcijos 2014-12-03 raštą Nr. V1-166 „Dėl privažiavimo kelio prie Kartenos piliakalnio atliktų kapitalinio remonto darbų perdavimo Kretingos rajono savivaldybės administracijai“, Kretingos rajono savivaldybės taryba  n u s p r e n d ž i a:</w:t>
      </w:r>
    </w:p>
    <w:p w:rsidR="0039120B" w:rsidRDefault="0039120B" w:rsidP="0039120B">
      <w:pPr>
        <w:jc w:val="both"/>
        <w:rPr>
          <w:szCs w:val="24"/>
        </w:rPr>
      </w:pPr>
      <w:r>
        <w:rPr>
          <w:szCs w:val="24"/>
        </w:rPr>
        <w:tab/>
      </w:r>
      <w:r w:rsidRPr="00C02308">
        <w:rPr>
          <w:szCs w:val="24"/>
        </w:rPr>
        <w:t xml:space="preserve">1. </w:t>
      </w:r>
      <w:r>
        <w:rPr>
          <w:szCs w:val="24"/>
        </w:rPr>
        <w:t>Su</w:t>
      </w:r>
      <w:r w:rsidRPr="00C02308">
        <w:rPr>
          <w:szCs w:val="24"/>
        </w:rPr>
        <w:t xml:space="preserve">tikti perimti </w:t>
      </w:r>
      <w:r>
        <w:rPr>
          <w:szCs w:val="24"/>
        </w:rPr>
        <w:t xml:space="preserve">Kretingos rajono savivaldybės nuosavybėn </w:t>
      </w:r>
      <w:proofErr w:type="spellStart"/>
      <w:r w:rsidR="00D60C42">
        <w:rPr>
          <w:szCs w:val="24"/>
        </w:rPr>
        <w:t>savarankiškajai</w:t>
      </w:r>
      <w:proofErr w:type="spellEnd"/>
      <w:r w:rsidR="00D60C42">
        <w:rPr>
          <w:szCs w:val="24"/>
        </w:rPr>
        <w:t xml:space="preserve"> savivaldybės funkcijai (</w:t>
      </w:r>
      <w:r w:rsidR="00D60C42" w:rsidRPr="00D60C42">
        <w:rPr>
          <w:szCs w:val="24"/>
        </w:rPr>
        <w:t xml:space="preserve">kraštovaizdžio, nekilnojamųjų kultūros vertybių ir savivaldybės įsteigtų saugomų teritorijų tvarkymas ir apsauga, savivaldybės teritorijoje esančių želdynų, želdinių apsauga, tvarkymas ir kūrimas, inventorizacijos, apskaitos, atskirųjų želdynų žemės sklypų kadastrinių matavimų ir įrašymo į Nekilnojamojo turto registrą organizavimas ir </w:t>
      </w:r>
      <w:proofErr w:type="spellStart"/>
      <w:r w:rsidR="00D60C42" w:rsidRPr="00D60C42">
        <w:rPr>
          <w:szCs w:val="24"/>
        </w:rPr>
        <w:t>stebėsena</w:t>
      </w:r>
      <w:proofErr w:type="spellEnd"/>
      <w:r w:rsidR="00D60C42">
        <w:rPr>
          <w:szCs w:val="24"/>
        </w:rPr>
        <w:t xml:space="preserve">) įgyvendinti </w:t>
      </w:r>
      <w:r w:rsidR="000861F5">
        <w:rPr>
          <w:szCs w:val="24"/>
        </w:rPr>
        <w:t xml:space="preserve">valstybei nuosavybės teise priklausantį ir šiuo metu </w:t>
      </w:r>
      <w:r>
        <w:rPr>
          <w:szCs w:val="24"/>
        </w:rPr>
        <w:t>Salantų regioninio parko direkcijos</w:t>
      </w:r>
      <w:r w:rsidR="000861F5">
        <w:rPr>
          <w:szCs w:val="24"/>
        </w:rPr>
        <w:t xml:space="preserve"> patikėjimo teise</w:t>
      </w:r>
      <w:r w:rsidR="00D60C42">
        <w:rPr>
          <w:szCs w:val="24"/>
        </w:rPr>
        <w:t xml:space="preserve"> valdomą </w:t>
      </w:r>
      <w:r w:rsidR="000861F5">
        <w:rPr>
          <w:szCs w:val="24"/>
        </w:rPr>
        <w:t xml:space="preserve">ilgalaikį materialųjį </w:t>
      </w:r>
      <w:r w:rsidR="00D60C42">
        <w:rPr>
          <w:szCs w:val="24"/>
        </w:rPr>
        <w:t>turtą</w:t>
      </w:r>
      <w:r w:rsidR="0083726D">
        <w:rPr>
          <w:szCs w:val="24"/>
        </w:rPr>
        <w:t>, sukurtą vykdant</w:t>
      </w:r>
      <w:r w:rsidR="00D60C42">
        <w:rPr>
          <w:szCs w:val="24"/>
        </w:rPr>
        <w:t xml:space="preserve"> privažiavimo kelio prie Kartenos piliakalnio kapitalinio remonto darbus</w:t>
      </w:r>
      <w:r w:rsidR="00480FC6">
        <w:rPr>
          <w:szCs w:val="24"/>
        </w:rPr>
        <w:t xml:space="preserve"> (kelio ilgis - 0,404 km, automobilių stovėjimo, poilsio aikštelės - 2 vnt.)</w:t>
      </w:r>
      <w:r w:rsidR="0083726D">
        <w:rPr>
          <w:szCs w:val="24"/>
        </w:rPr>
        <w:t xml:space="preserve">, </w:t>
      </w:r>
      <w:r w:rsidR="00D60C42">
        <w:rPr>
          <w:szCs w:val="24"/>
        </w:rPr>
        <w:t xml:space="preserve">bendra </w:t>
      </w:r>
      <w:r w:rsidR="0083726D">
        <w:rPr>
          <w:szCs w:val="24"/>
        </w:rPr>
        <w:t>v</w:t>
      </w:r>
      <w:r w:rsidR="00D60C42">
        <w:rPr>
          <w:szCs w:val="24"/>
        </w:rPr>
        <w:t>ertė – 290642,00 Lt.</w:t>
      </w:r>
      <w:r w:rsidR="000861F5">
        <w:rPr>
          <w:szCs w:val="24"/>
        </w:rPr>
        <w:t xml:space="preserve"> (du šimtai devyniasdešimt tūkstančių šeši šimtai keturiasdešimt du litai).</w:t>
      </w:r>
      <w:r>
        <w:rPr>
          <w:szCs w:val="24"/>
        </w:rPr>
        <w:t xml:space="preserve"> </w:t>
      </w:r>
    </w:p>
    <w:p w:rsidR="0039120B" w:rsidRDefault="0039120B" w:rsidP="0039120B">
      <w:pPr>
        <w:jc w:val="both"/>
        <w:rPr>
          <w:szCs w:val="24"/>
        </w:rPr>
      </w:pPr>
      <w:r>
        <w:rPr>
          <w:szCs w:val="24"/>
        </w:rPr>
        <w:tab/>
      </w:r>
      <w:r w:rsidRPr="00DB0A06">
        <w:rPr>
          <w:szCs w:val="24"/>
        </w:rPr>
        <w:t xml:space="preserve">2. </w:t>
      </w:r>
      <w:r>
        <w:t>Įgalioti Kretingos rajono savivaldybės administracijos direktorių pasirašyti sprendimo 1 punkte  nurodyto turto perdavimo aktą.</w:t>
      </w:r>
    </w:p>
    <w:p w:rsidR="0039120B" w:rsidRDefault="0039120B" w:rsidP="0039120B">
      <w:pPr>
        <w:ind w:firstLine="1296"/>
        <w:jc w:val="both"/>
      </w:pPr>
      <w:r>
        <w:rPr>
          <w:szCs w:val="24"/>
        </w:rPr>
        <w:t xml:space="preserve">3. </w:t>
      </w:r>
      <w:r>
        <w:t>Šis sprendimas gali būti skundžiamas Administracinių bylų teisenos įstatymo nustatyta tvarka.</w:t>
      </w: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671EE1">
        <w:tab/>
        <w:t xml:space="preserve">       Juozas Mažeika</w:t>
      </w:r>
      <w:r>
        <w:t xml:space="preserve">       </w:t>
      </w: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39120B" w:rsidRDefault="0039120B" w:rsidP="0039120B">
      <w:pPr>
        <w:jc w:val="both"/>
      </w:pPr>
    </w:p>
    <w:p w:rsidR="007C65AF" w:rsidRDefault="007C65AF" w:rsidP="0039120B">
      <w:pPr>
        <w:jc w:val="both"/>
      </w:pPr>
    </w:p>
    <w:p w:rsidR="00671EE1" w:rsidRDefault="00671EE1" w:rsidP="0039120B">
      <w:pPr>
        <w:jc w:val="both"/>
      </w:pPr>
    </w:p>
    <w:p w:rsidR="007C65AF" w:rsidRDefault="007C65AF" w:rsidP="0039120B"/>
    <w:p w:rsidR="00671EE1" w:rsidRDefault="0039120B" w:rsidP="00671EE1">
      <w:pPr>
        <w:rPr>
          <w:bCs/>
          <w:szCs w:val="24"/>
        </w:rPr>
      </w:pPr>
      <w:r w:rsidRPr="008B42D5">
        <w:t xml:space="preserve">Nijolė </w:t>
      </w:r>
      <w:proofErr w:type="spellStart"/>
      <w:r w:rsidRPr="008B42D5">
        <w:t>Vaičienė</w:t>
      </w:r>
      <w:proofErr w:type="spellEnd"/>
      <w:r w:rsidRPr="008B42D5">
        <w:t xml:space="preserve">        </w:t>
      </w:r>
    </w:p>
    <w:sectPr w:rsidR="00671EE1" w:rsidSect="007C65AF">
      <w:pgSz w:w="11906" w:h="16838" w:code="9"/>
      <w:pgMar w:top="426" w:right="42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0B"/>
    <w:rsid w:val="000861F5"/>
    <w:rsid w:val="00100080"/>
    <w:rsid w:val="00111E0E"/>
    <w:rsid w:val="00180001"/>
    <w:rsid w:val="0039120B"/>
    <w:rsid w:val="00421FF7"/>
    <w:rsid w:val="00480FC6"/>
    <w:rsid w:val="005B74A4"/>
    <w:rsid w:val="005C633F"/>
    <w:rsid w:val="0065398E"/>
    <w:rsid w:val="00671EE1"/>
    <w:rsid w:val="007C65AF"/>
    <w:rsid w:val="0083726D"/>
    <w:rsid w:val="008A40C6"/>
    <w:rsid w:val="00976DAE"/>
    <w:rsid w:val="009D4181"/>
    <w:rsid w:val="00A23C13"/>
    <w:rsid w:val="00A72385"/>
    <w:rsid w:val="00A91DE0"/>
    <w:rsid w:val="00D60C42"/>
    <w:rsid w:val="00DD094E"/>
    <w:rsid w:val="00E72555"/>
    <w:rsid w:val="00F43A85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120B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9120B"/>
    <w:pPr>
      <w:spacing w:after="120"/>
    </w:pPr>
  </w:style>
  <w:style w:type="character" w:customStyle="1" w:styleId="PagrindinistekstasDiagrama">
    <w:name w:val="Pagrindinis tekstas Diagrama"/>
    <w:link w:val="Pagrindinistekstas"/>
    <w:rsid w:val="0039120B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5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5AF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9120B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39120B"/>
    <w:pPr>
      <w:spacing w:after="120"/>
    </w:pPr>
  </w:style>
  <w:style w:type="character" w:customStyle="1" w:styleId="PagrindinistekstasDiagrama">
    <w:name w:val="Pagrindinis tekstas Diagrama"/>
    <w:link w:val="Pagrindinistekstas"/>
    <w:rsid w:val="0039120B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5A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5A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2014-12-08T08:17:00Z</cp:lastPrinted>
  <dcterms:created xsi:type="dcterms:W3CDTF">2014-12-10T12:02:00Z</dcterms:created>
  <dcterms:modified xsi:type="dcterms:W3CDTF">2014-12-19T10:14:00Z</dcterms:modified>
</cp:coreProperties>
</file>