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F8" w:rsidRDefault="00D96C83" w:rsidP="00D96C83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  <w:r w:rsidR="007714C4">
        <w:rPr>
          <w:bCs/>
          <w:sz w:val="24"/>
          <w:szCs w:val="24"/>
        </w:rPr>
        <w:t xml:space="preserve">          </w:t>
      </w:r>
    </w:p>
    <w:p w:rsidR="007714C4" w:rsidRDefault="003E70F8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714C4">
        <w:rPr>
          <w:bCs/>
          <w:sz w:val="24"/>
          <w:szCs w:val="24"/>
        </w:rPr>
        <w:t xml:space="preserve">                           </w:t>
      </w:r>
      <w:r w:rsidR="00AC3A86">
        <w:rPr>
          <w:bCs/>
          <w:sz w:val="24"/>
          <w:szCs w:val="24"/>
        </w:rPr>
        <w:t xml:space="preserve">       </w:t>
      </w:r>
      <w:r w:rsidR="007714C4">
        <w:rPr>
          <w:bCs/>
          <w:sz w:val="24"/>
          <w:szCs w:val="24"/>
        </w:rPr>
        <w:t xml:space="preserve">Komisijos korupcijos prevencijai                </w:t>
      </w:r>
    </w:p>
    <w:p w:rsidR="00D96C83" w:rsidRPr="00D96C83" w:rsidRDefault="007714C4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3A86">
        <w:rPr>
          <w:bCs/>
          <w:sz w:val="24"/>
          <w:szCs w:val="24"/>
        </w:rPr>
        <w:t xml:space="preserve">  </w:t>
      </w:r>
      <w:r w:rsidR="008C774D">
        <w:rPr>
          <w:bCs/>
          <w:sz w:val="24"/>
          <w:szCs w:val="24"/>
        </w:rPr>
        <w:t xml:space="preserve">                               </w:t>
      </w:r>
      <w:r>
        <w:rPr>
          <w:bCs/>
          <w:sz w:val="24"/>
          <w:szCs w:val="24"/>
        </w:rPr>
        <w:t>2013 met</w:t>
      </w:r>
      <w:r w:rsidR="00AC3A86">
        <w:rPr>
          <w:bCs/>
          <w:sz w:val="24"/>
          <w:szCs w:val="24"/>
        </w:rPr>
        <w:t>ų</w:t>
      </w:r>
      <w:r>
        <w:rPr>
          <w:bCs/>
          <w:sz w:val="24"/>
          <w:szCs w:val="24"/>
        </w:rPr>
        <w:t xml:space="preserve"> veiklos ataskaitos</w:t>
      </w:r>
      <w:r w:rsidR="008C774D" w:rsidRPr="008C774D">
        <w:t xml:space="preserve"> </w:t>
      </w:r>
      <w:r w:rsidR="008C774D">
        <w:rPr>
          <w:bCs/>
          <w:sz w:val="24"/>
          <w:szCs w:val="24"/>
        </w:rPr>
        <w:t>p</w:t>
      </w:r>
      <w:r w:rsidR="008C774D" w:rsidRPr="008C774D">
        <w:rPr>
          <w:bCs/>
          <w:sz w:val="24"/>
          <w:szCs w:val="24"/>
        </w:rPr>
        <w:t xml:space="preserve">riedas </w:t>
      </w:r>
    </w:p>
    <w:p w:rsidR="00945ED7" w:rsidRDefault="003E70F8" w:rsidP="007357CF">
      <w:pPr>
        <w:shd w:val="clear" w:color="auto" w:fill="FFFFFF"/>
        <w:ind w:left="5011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</w:t>
      </w:r>
      <w:r w:rsidR="009E49CD">
        <w:rPr>
          <w:b/>
          <w:bCs/>
          <w:sz w:val="24"/>
          <w:szCs w:val="24"/>
        </w:rPr>
        <w:t>2</w:t>
      </w:r>
      <w:r w:rsidR="00927F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927F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201</w:t>
      </w:r>
      <w:r w:rsidR="009E49CD">
        <w:rPr>
          <w:b/>
          <w:bCs/>
          <w:sz w:val="24"/>
          <w:szCs w:val="24"/>
        </w:rPr>
        <w:t xml:space="preserve">5 </w:t>
      </w:r>
      <w:r>
        <w:rPr>
          <w:b/>
          <w:bCs/>
          <w:sz w:val="24"/>
          <w:szCs w:val="24"/>
        </w:rPr>
        <w:t>METŲ</w:t>
      </w:r>
    </w:p>
    <w:p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2268"/>
        <w:gridCol w:w="2409"/>
        <w:gridCol w:w="5103"/>
      </w:tblGrid>
      <w:tr w:rsidR="00CC076D" w:rsidRPr="00BF2A60" w:rsidTr="00D81E24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CC076D" w:rsidRPr="00BF2A60" w:rsidTr="00D81E24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6D3BE1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 w:rsidRPr="006D3B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44BF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Parengti</w:t>
            </w:r>
            <w:r w:rsidRPr="00BF2A60">
              <w:rPr>
                <w:b/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Kretingos rajono savivaldybės 201</w:t>
            </w:r>
            <w:r>
              <w:rPr>
                <w:bCs/>
                <w:sz w:val="24"/>
                <w:szCs w:val="24"/>
              </w:rPr>
              <w:t>2</w:t>
            </w:r>
            <w:r w:rsidR="005668ED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-</w:t>
            </w:r>
            <w:r w:rsidR="005668ED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 metų Korupcijos prevencijos programą ir priemonių planą.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744BF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Komisija korupcijos prevencijai</w:t>
            </w:r>
            <w:r w:rsidR="00CC076D" w:rsidRPr="00BF2A6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 xml:space="preserve"> m. </w:t>
            </w:r>
            <w:r>
              <w:rPr>
                <w:bCs/>
                <w:sz w:val="24"/>
                <w:szCs w:val="24"/>
              </w:rPr>
              <w:t>IV</w:t>
            </w:r>
            <w:r w:rsidRPr="00BF2A60">
              <w:rPr>
                <w:bCs/>
                <w:sz w:val="24"/>
                <w:szCs w:val="24"/>
              </w:rPr>
              <w:t xml:space="preserve"> ketvirtis</w:t>
            </w:r>
          </w:p>
        </w:tc>
        <w:tc>
          <w:tcPr>
            <w:tcW w:w="5103" w:type="dxa"/>
            <w:shd w:val="clear" w:color="auto" w:fill="auto"/>
          </w:tcPr>
          <w:p w:rsidR="002377E5" w:rsidRPr="00BF2A60" w:rsidRDefault="004F4F61" w:rsidP="00744BFF">
            <w:pPr>
              <w:jc w:val="both"/>
              <w:rPr>
                <w:bCs/>
                <w:sz w:val="24"/>
                <w:szCs w:val="24"/>
              </w:rPr>
            </w:pPr>
            <w:r w:rsidRPr="004F4F61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377E5">
              <w:rPr>
                <w:bCs/>
                <w:sz w:val="24"/>
                <w:szCs w:val="24"/>
              </w:rPr>
              <w:t xml:space="preserve">Patvirtinta </w:t>
            </w:r>
            <w:r w:rsidR="002377E5" w:rsidRPr="002377E5">
              <w:rPr>
                <w:bCs/>
                <w:sz w:val="24"/>
                <w:szCs w:val="24"/>
              </w:rPr>
              <w:t>Kretingos rajono savivaldybės</w:t>
            </w:r>
            <w:r w:rsidR="002377E5">
              <w:rPr>
                <w:bCs/>
                <w:sz w:val="24"/>
                <w:szCs w:val="24"/>
              </w:rPr>
              <w:t xml:space="preserve"> tarybos 2012-12-21 sprendimu Nr. T2-435.</w:t>
            </w:r>
          </w:p>
        </w:tc>
      </w:tr>
      <w:tr w:rsidR="00CC076D" w:rsidRPr="00BF2A60" w:rsidTr="00D81E24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6D3BE1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Nustatyti korupcijos pasireiškimo tikimybę.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744BFF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</w:t>
            </w:r>
            <w:r w:rsidR="00CE7B4E">
              <w:rPr>
                <w:bCs/>
                <w:sz w:val="24"/>
                <w:szCs w:val="24"/>
              </w:rPr>
              <w:t>omisija korupcijos prevencijai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III ketvirtis</w:t>
            </w:r>
          </w:p>
          <w:p w:rsidR="00CC076D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D7313A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4</w:t>
            </w:r>
            <w:r w:rsidRPr="00D7313A">
              <w:rPr>
                <w:bCs/>
                <w:sz w:val="24"/>
                <w:szCs w:val="24"/>
              </w:rPr>
              <w:t xml:space="preserve"> m. III ketvirtis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C076D" w:rsidRPr="00BF2A60" w:rsidRDefault="00CC076D" w:rsidP="00744BFF">
            <w:pPr>
              <w:jc w:val="center"/>
              <w:rPr>
                <w:bCs/>
                <w:sz w:val="24"/>
                <w:szCs w:val="24"/>
              </w:rPr>
            </w:pPr>
            <w:r w:rsidRPr="00D7313A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D7313A">
              <w:rPr>
                <w:bCs/>
                <w:sz w:val="24"/>
                <w:szCs w:val="24"/>
              </w:rPr>
              <w:t xml:space="preserve"> m. III ketvirtis</w:t>
            </w:r>
          </w:p>
        </w:tc>
        <w:tc>
          <w:tcPr>
            <w:tcW w:w="5103" w:type="dxa"/>
            <w:shd w:val="clear" w:color="auto" w:fill="auto"/>
          </w:tcPr>
          <w:p w:rsidR="004C10FA" w:rsidRPr="00BF2A60" w:rsidRDefault="004F4F61" w:rsidP="004C10FA">
            <w:pPr>
              <w:jc w:val="both"/>
              <w:rPr>
                <w:bCs/>
                <w:sz w:val="24"/>
                <w:szCs w:val="24"/>
              </w:rPr>
            </w:pPr>
            <w:r w:rsidRPr="004F4F61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C10FA">
              <w:rPr>
                <w:bCs/>
                <w:sz w:val="24"/>
                <w:szCs w:val="24"/>
              </w:rPr>
              <w:t xml:space="preserve">Nustatė Korupcijos </w:t>
            </w:r>
            <w:r w:rsidR="004C10FA" w:rsidRPr="004C10FA">
              <w:rPr>
                <w:bCs/>
                <w:sz w:val="24"/>
                <w:szCs w:val="24"/>
              </w:rPr>
              <w:t>pasireiškimo tikimybę</w:t>
            </w:r>
            <w:r w:rsidR="004C10FA">
              <w:rPr>
                <w:bCs/>
                <w:sz w:val="24"/>
                <w:szCs w:val="24"/>
              </w:rPr>
              <w:t xml:space="preserve"> Kretingos rajono savivaldybėje veiklos srityje - </w:t>
            </w:r>
            <w:r w:rsidR="00DF035A" w:rsidRPr="00DF035A">
              <w:rPr>
                <w:bCs/>
                <w:sz w:val="24"/>
                <w:szCs w:val="24"/>
              </w:rPr>
              <w:t>leidimų statyti naują statinį/ rekonstruoti statinį/atnaujinti (modernizuoti) pastatą išdavimas</w:t>
            </w:r>
            <w:r w:rsidR="00DF035A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6D3BE1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630A5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Atnaujinti</w:t>
            </w:r>
            <w:r w:rsidRPr="00BF2A60">
              <w:rPr>
                <w:bCs/>
                <w:sz w:val="24"/>
                <w:szCs w:val="24"/>
              </w:rPr>
              <w:t xml:space="preserve"> Antikorupcinio teisės aktų projektų vertinimo metodiką.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630A5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Komisija korupcijos prevencijai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5668ED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I</w:t>
            </w:r>
            <w:r>
              <w:rPr>
                <w:bCs/>
                <w:sz w:val="24"/>
                <w:szCs w:val="24"/>
              </w:rPr>
              <w:t>II</w:t>
            </w:r>
            <w:r w:rsidR="005668ED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ketvirtis</w:t>
            </w:r>
          </w:p>
        </w:tc>
        <w:tc>
          <w:tcPr>
            <w:tcW w:w="5103" w:type="dxa"/>
            <w:shd w:val="clear" w:color="auto" w:fill="auto"/>
          </w:tcPr>
          <w:p w:rsidR="009436AF" w:rsidRDefault="004F4F61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Neį</w:t>
            </w:r>
            <w:r w:rsidRPr="004F4F61">
              <w:rPr>
                <w:bCs/>
                <w:sz w:val="24"/>
                <w:szCs w:val="24"/>
              </w:rPr>
              <w:t>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03624">
              <w:rPr>
                <w:bCs/>
                <w:sz w:val="24"/>
                <w:szCs w:val="24"/>
              </w:rPr>
              <w:t>Rengiamas naujas</w:t>
            </w:r>
            <w:r w:rsidR="00703624">
              <w:t xml:space="preserve"> </w:t>
            </w:r>
            <w:r w:rsidR="00703624" w:rsidRPr="00703624">
              <w:rPr>
                <w:bCs/>
                <w:sz w:val="24"/>
                <w:szCs w:val="24"/>
              </w:rPr>
              <w:t>Antikorupcinio teisės aktų projektų vertinimo metodik</w:t>
            </w:r>
            <w:r w:rsidR="00703624">
              <w:rPr>
                <w:bCs/>
                <w:sz w:val="24"/>
                <w:szCs w:val="24"/>
              </w:rPr>
              <w:t>os projektas.</w:t>
            </w:r>
          </w:p>
          <w:p w:rsidR="00C20575" w:rsidRPr="00BF2A60" w:rsidRDefault="00C20575" w:rsidP="00BF2A6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6D3BE1">
            <w:pPr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Antikorupciniu požiūriu vertinti teisės aktų projektus.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Teisės akto projekto rengėjas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7D4DC7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="005668ED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-</w:t>
            </w:r>
            <w:r w:rsidR="005668ED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 m. </w:t>
            </w:r>
          </w:p>
        </w:tc>
        <w:tc>
          <w:tcPr>
            <w:tcW w:w="5103" w:type="dxa"/>
            <w:shd w:val="clear" w:color="auto" w:fill="auto"/>
          </w:tcPr>
          <w:p w:rsidR="009D3E71" w:rsidRPr="00BF2A60" w:rsidRDefault="004F4F61" w:rsidP="009D3E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Įgyvendinta. </w:t>
            </w:r>
            <w:r w:rsidR="009D3E71">
              <w:rPr>
                <w:bCs/>
                <w:sz w:val="24"/>
                <w:szCs w:val="24"/>
              </w:rPr>
              <w:t>Antikorupciniu požiūriu ver</w:t>
            </w:r>
            <w:r w:rsidR="009D3E71" w:rsidRPr="009D3E71">
              <w:rPr>
                <w:bCs/>
                <w:sz w:val="24"/>
                <w:szCs w:val="24"/>
              </w:rPr>
              <w:t>ti</w:t>
            </w:r>
            <w:r w:rsidR="009D3E71">
              <w:rPr>
                <w:bCs/>
                <w:sz w:val="24"/>
                <w:szCs w:val="24"/>
              </w:rPr>
              <w:t>nami</w:t>
            </w:r>
            <w:r w:rsidR="009D3E71" w:rsidRPr="009D3E71">
              <w:rPr>
                <w:bCs/>
                <w:sz w:val="24"/>
                <w:szCs w:val="24"/>
              </w:rPr>
              <w:t xml:space="preserve"> teisės aktų projekt</w:t>
            </w:r>
            <w:r w:rsidR="009D3E71">
              <w:rPr>
                <w:bCs/>
                <w:sz w:val="24"/>
                <w:szCs w:val="24"/>
              </w:rPr>
              <w:t>ai</w:t>
            </w:r>
            <w:r w:rsidR="009D3E71" w:rsidRPr="009D3E71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8A7D99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Skelbti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A7D99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avivaldybės tinkla</w:t>
            </w:r>
            <w:r w:rsidR="008A7D99">
              <w:rPr>
                <w:bCs/>
                <w:sz w:val="24"/>
                <w:szCs w:val="24"/>
              </w:rPr>
              <w:t>la</w:t>
            </w:r>
            <w:r>
              <w:rPr>
                <w:bCs/>
                <w:sz w:val="24"/>
                <w:szCs w:val="24"/>
              </w:rPr>
              <w:t>pyje</w:t>
            </w:r>
            <w:r w:rsidRPr="00BF2A60">
              <w:rPr>
                <w:bCs/>
                <w:sz w:val="24"/>
                <w:szCs w:val="24"/>
              </w:rPr>
              <w:t xml:space="preserve"> Savivaldybės administracijos direktoriaus įsakymus, atsižvelgiant į asmens duomenų apsaugą reglamentuojančių teisės aktų reikalavimus.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Informacinių technologijų skyrius,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 5 darbo di</w:t>
            </w:r>
            <w:r w:rsidR="008A7D99">
              <w:rPr>
                <w:bCs/>
                <w:sz w:val="24"/>
                <w:szCs w:val="24"/>
              </w:rPr>
              <w:t>enas, pasirašius teisės aktą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CC076D" w:rsidRDefault="000B5352" w:rsidP="000B53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 dalies į</w:t>
            </w:r>
            <w:r w:rsidRPr="000B5352">
              <w:rPr>
                <w:bCs/>
                <w:sz w:val="24"/>
                <w:szCs w:val="24"/>
              </w:rPr>
              <w:t>gyvendinta.</w:t>
            </w:r>
            <w:r>
              <w:rPr>
                <w:bCs/>
                <w:sz w:val="24"/>
                <w:szCs w:val="24"/>
              </w:rPr>
              <w:t xml:space="preserve"> Pas</w:t>
            </w:r>
            <w:r w:rsidRPr="000B5352">
              <w:rPr>
                <w:bCs/>
                <w:sz w:val="24"/>
                <w:szCs w:val="24"/>
              </w:rPr>
              <w:t xml:space="preserve">kelbti </w:t>
            </w:r>
            <w:r w:rsidR="00700176">
              <w:rPr>
                <w:bCs/>
                <w:sz w:val="24"/>
                <w:szCs w:val="24"/>
              </w:rPr>
              <w:t xml:space="preserve">ne visi </w:t>
            </w:r>
            <w:r w:rsidR="008A7D99">
              <w:rPr>
                <w:bCs/>
                <w:sz w:val="24"/>
                <w:szCs w:val="24"/>
              </w:rPr>
              <w:t>S</w:t>
            </w:r>
            <w:r w:rsidRPr="000B5352">
              <w:rPr>
                <w:bCs/>
                <w:sz w:val="24"/>
                <w:szCs w:val="24"/>
              </w:rPr>
              <w:t>avivaldybės tinkla</w:t>
            </w:r>
            <w:r w:rsidR="008A7D99">
              <w:rPr>
                <w:bCs/>
                <w:sz w:val="24"/>
                <w:szCs w:val="24"/>
              </w:rPr>
              <w:t>la</w:t>
            </w:r>
            <w:r w:rsidRPr="000B5352">
              <w:rPr>
                <w:bCs/>
                <w:sz w:val="24"/>
                <w:szCs w:val="24"/>
              </w:rPr>
              <w:t>pyje Savivaldybės administracijos direktoriaus įsakym</w:t>
            </w:r>
            <w:r>
              <w:rPr>
                <w:bCs/>
                <w:sz w:val="24"/>
                <w:szCs w:val="24"/>
              </w:rPr>
              <w:t>ai</w:t>
            </w:r>
            <w:r w:rsidR="00700176">
              <w:rPr>
                <w:bCs/>
                <w:sz w:val="24"/>
                <w:szCs w:val="24"/>
              </w:rPr>
              <w:t>. Paskelbti įsakymai</w:t>
            </w:r>
            <w:r>
              <w:rPr>
                <w:bCs/>
                <w:sz w:val="24"/>
                <w:szCs w:val="24"/>
              </w:rPr>
              <w:t xml:space="preserve"> dėl detaliųjų planų tvirtinimo ir pagrindinės žemės naudojimo paskirties keitimo, </w:t>
            </w:r>
            <w:r w:rsidR="00FF3C35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 xml:space="preserve">ripo epidemijos pradžios paskelbimo, Kretingos rajono savivaldybės atsakingų institucijų informacijos teikimo apie įvykį, ekstremalųjį įvykį ar </w:t>
            </w:r>
            <w:r w:rsidRPr="000B5352">
              <w:rPr>
                <w:bCs/>
                <w:sz w:val="24"/>
                <w:szCs w:val="24"/>
              </w:rPr>
              <w:t>ekstremal</w:t>
            </w:r>
            <w:r>
              <w:rPr>
                <w:bCs/>
                <w:sz w:val="24"/>
                <w:szCs w:val="24"/>
              </w:rPr>
              <w:t xml:space="preserve">iąją situaciją tvarkos aprašas, Leidimo įvežti, įsigyti, laikyti, veisti pavojingus šunis ir jais prekiauti išdavimo </w:t>
            </w:r>
            <w:r w:rsidRPr="000B5352">
              <w:rPr>
                <w:bCs/>
                <w:sz w:val="24"/>
                <w:szCs w:val="24"/>
              </w:rPr>
              <w:t>tvarkos aprašas</w:t>
            </w:r>
            <w:r>
              <w:rPr>
                <w:bCs/>
                <w:sz w:val="24"/>
                <w:szCs w:val="24"/>
              </w:rPr>
              <w:t>, Gyvūnų laikymo Kretingos rajone taisyklės.</w:t>
            </w:r>
          </w:p>
          <w:p w:rsidR="00D06334" w:rsidRDefault="00D06334" w:rsidP="00CF62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Nuo 2014-01-01</w:t>
            </w:r>
            <w:r w:rsidR="00700176">
              <w:rPr>
                <w:bCs/>
                <w:sz w:val="24"/>
                <w:szCs w:val="24"/>
              </w:rPr>
              <w:t xml:space="preserve"> </w:t>
            </w:r>
            <w:r w:rsidR="00FB77DE">
              <w:rPr>
                <w:bCs/>
                <w:sz w:val="24"/>
                <w:szCs w:val="24"/>
              </w:rPr>
              <w:t xml:space="preserve">pagal LR </w:t>
            </w:r>
            <w:r w:rsidR="00FF3C35">
              <w:rPr>
                <w:bCs/>
                <w:sz w:val="24"/>
                <w:szCs w:val="24"/>
              </w:rPr>
              <w:t>T</w:t>
            </w:r>
            <w:r w:rsidR="00FB77DE">
              <w:rPr>
                <w:bCs/>
                <w:sz w:val="24"/>
                <w:szCs w:val="24"/>
              </w:rPr>
              <w:t>eisėkūros pagrindų įstatymą</w:t>
            </w:r>
            <w:r w:rsidR="00CF6252">
              <w:rPr>
                <w:bCs/>
                <w:sz w:val="24"/>
                <w:szCs w:val="24"/>
              </w:rPr>
              <w:t xml:space="preserve"> teisės aktai registruojami į pagrindinį valstybės registrą TAR</w:t>
            </w:r>
            <w:r w:rsidR="00BE6CA6">
              <w:rPr>
                <w:bCs/>
                <w:sz w:val="24"/>
                <w:szCs w:val="24"/>
              </w:rPr>
              <w:t xml:space="preserve"> ir jame skelbiami adresu </w:t>
            </w:r>
            <w:proofErr w:type="spellStart"/>
            <w:r w:rsidR="00BE6CA6">
              <w:rPr>
                <w:bCs/>
                <w:sz w:val="24"/>
                <w:szCs w:val="24"/>
              </w:rPr>
              <w:t>www.e-tar.lt</w:t>
            </w:r>
            <w:proofErr w:type="spellEnd"/>
          </w:p>
          <w:p w:rsidR="00BE6CA6" w:rsidRPr="00BF2A60" w:rsidRDefault="00BE6CA6" w:rsidP="00CF625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Viešai skelbti savivaldybės Korupcijos prevencijos programą ir priemonių planą.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Komisija korupcijos prevencijai</w:t>
            </w:r>
            <w:r w:rsidR="00CC076D" w:rsidRPr="00BF2A6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76706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Kasmet</w:t>
            </w:r>
            <w:r w:rsidR="0076706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savivaldybės </w:t>
            </w:r>
            <w:r w:rsidR="00767062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>arybai patvirtinus sprendimą</w:t>
            </w:r>
          </w:p>
        </w:tc>
        <w:tc>
          <w:tcPr>
            <w:tcW w:w="5103" w:type="dxa"/>
            <w:shd w:val="clear" w:color="auto" w:fill="auto"/>
          </w:tcPr>
          <w:p w:rsidR="00086E14" w:rsidRPr="00086E14" w:rsidRDefault="00086E14" w:rsidP="00086E14">
            <w:pPr>
              <w:jc w:val="both"/>
              <w:rPr>
                <w:bCs/>
                <w:sz w:val="24"/>
                <w:szCs w:val="24"/>
              </w:rPr>
            </w:pPr>
            <w:r w:rsidRPr="00086E14">
              <w:rPr>
                <w:bCs/>
                <w:sz w:val="24"/>
                <w:szCs w:val="24"/>
              </w:rPr>
              <w:t>Įgyvendinta.</w:t>
            </w:r>
          </w:p>
          <w:p w:rsidR="00CC076D" w:rsidRPr="00BF2A60" w:rsidRDefault="00086E14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Savivaldybės interneto svetainės </w:t>
            </w:r>
            <w:hyperlink r:id="rId6" w:history="1">
              <w:r w:rsidRPr="00EF7718">
                <w:rPr>
                  <w:rStyle w:val="Hipersaitas"/>
                  <w:bCs/>
                  <w:sz w:val="24"/>
                  <w:szCs w:val="24"/>
                </w:rPr>
                <w:t>www.kretinga.lt</w:t>
              </w:r>
            </w:hyperlink>
            <w:r>
              <w:rPr>
                <w:bCs/>
                <w:sz w:val="24"/>
                <w:szCs w:val="24"/>
              </w:rPr>
              <w:t xml:space="preserve"> skiltis „Korupcijos prevencija“.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C3E26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Teikti savivaldybės Tarybai tvirtinti Komisijos korupcijos prevencijai veiklos ataskaitą bei</w:t>
            </w:r>
            <w:r w:rsidRPr="00BF2A60">
              <w:rPr>
                <w:bCs/>
                <w:sz w:val="24"/>
                <w:szCs w:val="24"/>
              </w:rPr>
              <w:t xml:space="preserve"> priemonių plano įgyvendinimą, pateikiant trumpą informaciją įvykdžius priemonę</w:t>
            </w:r>
            <w:r w:rsidR="00BC3E26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ir </w:t>
            </w:r>
            <w:r w:rsidR="00BC3E26">
              <w:rPr>
                <w:bCs/>
                <w:sz w:val="24"/>
                <w:szCs w:val="24"/>
              </w:rPr>
              <w:t xml:space="preserve">ją </w:t>
            </w:r>
            <w:r w:rsidRPr="00BF2A60">
              <w:rPr>
                <w:bCs/>
                <w:sz w:val="24"/>
                <w:szCs w:val="24"/>
              </w:rPr>
              <w:t>paskelb</w:t>
            </w:r>
            <w:r w:rsidR="00BC3E26">
              <w:rPr>
                <w:bCs/>
                <w:sz w:val="24"/>
                <w:szCs w:val="24"/>
              </w:rPr>
              <w:t>iant</w:t>
            </w:r>
            <w:r w:rsidR="00BC3E26">
              <w:t xml:space="preserve"> </w:t>
            </w:r>
            <w:r w:rsidR="00BC3E26" w:rsidRPr="00BC3E26">
              <w:rPr>
                <w:bCs/>
                <w:sz w:val="24"/>
                <w:szCs w:val="24"/>
              </w:rPr>
              <w:t>viešai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2E4720">
            <w:pPr>
              <w:rPr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Komisija korupcijos prevencijai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 ketvirtis</w:t>
            </w:r>
          </w:p>
        </w:tc>
        <w:tc>
          <w:tcPr>
            <w:tcW w:w="5103" w:type="dxa"/>
            <w:shd w:val="clear" w:color="auto" w:fill="auto"/>
          </w:tcPr>
          <w:p w:rsidR="00086E14" w:rsidRPr="00086E14" w:rsidRDefault="00086E14" w:rsidP="00086E14">
            <w:pPr>
              <w:jc w:val="both"/>
              <w:rPr>
                <w:bCs/>
                <w:sz w:val="24"/>
                <w:szCs w:val="24"/>
              </w:rPr>
            </w:pPr>
            <w:r w:rsidRPr="00086E14">
              <w:rPr>
                <w:bCs/>
                <w:sz w:val="24"/>
                <w:szCs w:val="24"/>
              </w:rPr>
              <w:t>Įgyvendinta.</w:t>
            </w:r>
          </w:p>
          <w:p w:rsidR="00CC076D" w:rsidRPr="00BF2A60" w:rsidRDefault="00086E14" w:rsidP="00086E14">
            <w:pPr>
              <w:jc w:val="both"/>
              <w:rPr>
                <w:bCs/>
                <w:sz w:val="24"/>
                <w:szCs w:val="24"/>
              </w:rPr>
            </w:pPr>
            <w:r w:rsidRPr="00086E14">
              <w:rPr>
                <w:bCs/>
                <w:sz w:val="24"/>
                <w:szCs w:val="24"/>
              </w:rPr>
              <w:t xml:space="preserve">Savivaldybės interneto svetainės </w:t>
            </w:r>
            <w:proofErr w:type="spellStart"/>
            <w:r w:rsidRPr="00086E14">
              <w:rPr>
                <w:bCs/>
                <w:sz w:val="24"/>
                <w:szCs w:val="24"/>
              </w:rPr>
              <w:t>www.kretinga.lt</w:t>
            </w:r>
            <w:proofErr w:type="spellEnd"/>
            <w:r w:rsidRPr="00086E14">
              <w:rPr>
                <w:bCs/>
                <w:sz w:val="24"/>
                <w:szCs w:val="24"/>
              </w:rPr>
              <w:t xml:space="preserve"> skiltis „Korupcijos prevencija“.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Užtikrinti ir kontroliuoti Viešųjų ir privačių interesų derinimo valstybės tarnyboje įstatymo nuostatų taikymą Savivaldybės administracijoje, struktūriniuose padaliniuose, pavaldžiose įstaigose.</w:t>
            </w:r>
            <w:r>
              <w:t xml:space="preserve"> </w:t>
            </w:r>
            <w:r w:rsidRPr="00BF2A60">
              <w:rPr>
                <w:sz w:val="24"/>
                <w:szCs w:val="24"/>
              </w:rPr>
              <w:t>Kontroliuoti, ar laiku ir tinkamai pateikiamos privačių interesų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deklaracijos.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E7B4E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 ketvirtis</w:t>
            </w:r>
          </w:p>
        </w:tc>
        <w:tc>
          <w:tcPr>
            <w:tcW w:w="5103" w:type="dxa"/>
            <w:shd w:val="clear" w:color="auto" w:fill="auto"/>
          </w:tcPr>
          <w:p w:rsidR="00CC076D" w:rsidRDefault="00BE6CA6" w:rsidP="00BF2A60">
            <w:pPr>
              <w:jc w:val="both"/>
              <w:rPr>
                <w:bCs/>
                <w:sz w:val="24"/>
                <w:szCs w:val="24"/>
              </w:rPr>
            </w:pPr>
            <w:r w:rsidRPr="00BE6CA6">
              <w:rPr>
                <w:bCs/>
                <w:sz w:val="24"/>
                <w:szCs w:val="24"/>
              </w:rPr>
              <w:t>Įgyvendinta.</w:t>
            </w:r>
            <w:r w:rsidR="00EC4973">
              <w:rPr>
                <w:bCs/>
                <w:sz w:val="24"/>
                <w:szCs w:val="24"/>
              </w:rPr>
              <w:t xml:space="preserve"> </w:t>
            </w:r>
          </w:p>
          <w:p w:rsidR="00D06334" w:rsidRPr="00BF2A60" w:rsidRDefault="00D06334" w:rsidP="00BF2A6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Parengti Administracinių paslaugų aprašus. Plėtoti elektroninių paslaugų teikimą fiziniams ir juridiniams asmenims, atnaujinti atmintines apie įstaigų teikiamas paslaugas kartu su prašymų formomis internete.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CB391B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administracijos skyriai,</w:t>
            </w:r>
            <w:r w:rsidR="00CB391B"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Informacinių technologijų skyrius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D73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Kasmet</w:t>
            </w:r>
            <w:r w:rsidR="00CB391B">
              <w:rPr>
                <w:bCs/>
                <w:sz w:val="24"/>
                <w:szCs w:val="24"/>
              </w:rPr>
              <w:t>,</w:t>
            </w:r>
            <w:r w:rsidRPr="00BF2A60">
              <w:rPr>
                <w:bCs/>
                <w:sz w:val="24"/>
                <w:szCs w:val="24"/>
              </w:rPr>
              <w:t xml:space="preserve"> III ketvirtis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E4363D" w:rsidP="00CB391B">
            <w:pPr>
              <w:jc w:val="both"/>
              <w:rPr>
                <w:bCs/>
                <w:sz w:val="24"/>
                <w:szCs w:val="24"/>
              </w:rPr>
            </w:pPr>
            <w:r w:rsidRPr="00E4363D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32B7C" w:rsidRPr="00432B7C">
              <w:rPr>
                <w:bCs/>
                <w:sz w:val="24"/>
                <w:szCs w:val="24"/>
              </w:rPr>
              <w:t>Atsižvelgiant į teisės aktų pasikeitimus</w:t>
            </w:r>
            <w:r w:rsidR="00CB391B">
              <w:rPr>
                <w:bCs/>
                <w:sz w:val="24"/>
                <w:szCs w:val="24"/>
              </w:rPr>
              <w:t>,</w:t>
            </w:r>
            <w:r w:rsidR="00432B7C" w:rsidRPr="00432B7C">
              <w:rPr>
                <w:bCs/>
                <w:sz w:val="24"/>
                <w:szCs w:val="24"/>
              </w:rPr>
              <w:t xml:space="preserve"> patikslinti ir administracijos direktoriaus patvirtinti skyrių ir seniūnijų administracinių paslaugų teikimo aprašymai. </w:t>
            </w:r>
            <w:r>
              <w:rPr>
                <w:bCs/>
                <w:sz w:val="24"/>
                <w:szCs w:val="24"/>
              </w:rPr>
              <w:t>Administracinių paslaugų aprašymai yra pateikti</w:t>
            </w:r>
            <w:r w:rsidR="00432B7C">
              <w:rPr>
                <w:bCs/>
                <w:sz w:val="24"/>
                <w:szCs w:val="24"/>
              </w:rPr>
              <w:t xml:space="preserve"> paslaugų katalogui PAS</w:t>
            </w:r>
            <w:r w:rsidR="00F51FD3">
              <w:rPr>
                <w:bCs/>
                <w:sz w:val="24"/>
                <w:szCs w:val="24"/>
              </w:rPr>
              <w:t>IS bei pa</w:t>
            </w:r>
            <w:r w:rsidR="00CB391B">
              <w:rPr>
                <w:bCs/>
                <w:sz w:val="24"/>
                <w:szCs w:val="24"/>
              </w:rPr>
              <w:t>skelb</w:t>
            </w:r>
            <w:r w:rsidR="00F51FD3">
              <w:rPr>
                <w:bCs/>
                <w:sz w:val="24"/>
                <w:szCs w:val="24"/>
              </w:rPr>
              <w:t xml:space="preserve">ti </w:t>
            </w:r>
            <w:r w:rsidR="00F51FD3" w:rsidRPr="00F51FD3">
              <w:rPr>
                <w:bCs/>
                <w:sz w:val="24"/>
                <w:szCs w:val="24"/>
              </w:rPr>
              <w:t>S</w:t>
            </w:r>
            <w:r w:rsidR="00D81E24">
              <w:rPr>
                <w:bCs/>
                <w:sz w:val="24"/>
                <w:szCs w:val="24"/>
              </w:rPr>
              <w:t xml:space="preserve">avivaldybės interneto svetainės </w:t>
            </w:r>
            <w:proofErr w:type="spellStart"/>
            <w:r w:rsidR="00F51FD3" w:rsidRPr="00F51FD3">
              <w:rPr>
                <w:bCs/>
                <w:sz w:val="24"/>
                <w:szCs w:val="24"/>
              </w:rPr>
              <w:t>www.kretinga.lt</w:t>
            </w:r>
            <w:proofErr w:type="spellEnd"/>
            <w:r w:rsidR="00F51FD3" w:rsidRPr="00F51FD3">
              <w:rPr>
                <w:bCs/>
                <w:sz w:val="24"/>
                <w:szCs w:val="24"/>
              </w:rPr>
              <w:t xml:space="preserve"> skilt</w:t>
            </w:r>
            <w:r w:rsidR="00F51FD3">
              <w:rPr>
                <w:bCs/>
                <w:sz w:val="24"/>
                <w:szCs w:val="24"/>
              </w:rPr>
              <w:t>yje „Paslaugos/administracinės paslaugos</w:t>
            </w:r>
            <w:r w:rsidR="00EA6ED0">
              <w:rPr>
                <w:bCs/>
                <w:sz w:val="24"/>
                <w:szCs w:val="24"/>
              </w:rPr>
              <w:t>“</w:t>
            </w:r>
            <w:r w:rsidR="00F51FD3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CE7B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Organizuoti savivaldybės administracijos darbuotojų kursus dėl teisės aktų projektų vertinimo korupcijos, socialini</w:t>
            </w:r>
            <w:r w:rsidR="00CE7B4E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>, ekonomini</w:t>
            </w:r>
            <w:r w:rsidR="00CE7B4E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>, finansų ir kitais požiūriais.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310D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Savivaldybės administracijos darbuotojai,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t</w:t>
            </w:r>
            <w:r w:rsidRPr="00310DB6">
              <w:rPr>
                <w:bCs/>
                <w:sz w:val="24"/>
                <w:szCs w:val="24"/>
              </w:rPr>
              <w:t>eisės akto projekto rengėja</w:t>
            </w:r>
            <w:r w:rsidR="00C04630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Vieną kartą </w:t>
            </w:r>
            <w:r w:rsidR="00CE7B4E">
              <w:rPr>
                <w:bCs/>
                <w:sz w:val="24"/>
                <w:szCs w:val="24"/>
              </w:rPr>
              <w:t>per metu</w:t>
            </w:r>
            <w:r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137885" w:rsidP="002948FE">
            <w:pPr>
              <w:jc w:val="both"/>
              <w:rPr>
                <w:bCs/>
                <w:sz w:val="24"/>
                <w:szCs w:val="24"/>
              </w:rPr>
            </w:pPr>
            <w:r w:rsidRPr="00137885">
              <w:rPr>
                <w:bCs/>
                <w:sz w:val="24"/>
                <w:szCs w:val="24"/>
              </w:rPr>
              <w:t>Neįgyvendinta. Rengiamas naujas Antikorupcinio teisės aktų projektų vertinimo metodikos projektas.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Įdiegti savivaldybės tinkla</w:t>
            </w:r>
            <w:r w:rsidR="00C04630">
              <w:rPr>
                <w:bCs/>
                <w:sz w:val="24"/>
                <w:szCs w:val="24"/>
              </w:rPr>
              <w:t>la</w:t>
            </w:r>
            <w:r>
              <w:rPr>
                <w:bCs/>
                <w:sz w:val="24"/>
                <w:szCs w:val="24"/>
              </w:rPr>
              <w:t>pyje interaktyvią vaikų priėmimo į ugdymo įstaigą registracijos sistemą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FA1F7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Švietimo </w:t>
            </w:r>
            <w:r w:rsidRPr="00BF2A60">
              <w:rPr>
                <w:bCs/>
                <w:sz w:val="24"/>
                <w:szCs w:val="24"/>
              </w:rPr>
              <w:t>skyrius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FA1F7A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2</w:t>
            </w:r>
            <w:r w:rsidR="00C04630">
              <w:rPr>
                <w:bCs/>
                <w:sz w:val="24"/>
                <w:szCs w:val="24"/>
              </w:rPr>
              <w:t xml:space="preserve"> m. III ketvirtis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EF7718" w:rsidP="009A5058">
            <w:pPr>
              <w:jc w:val="both"/>
              <w:rPr>
                <w:bCs/>
                <w:sz w:val="24"/>
                <w:szCs w:val="24"/>
              </w:rPr>
            </w:pPr>
            <w:r w:rsidRPr="00EF7718">
              <w:rPr>
                <w:bCs/>
                <w:sz w:val="24"/>
                <w:szCs w:val="24"/>
              </w:rPr>
              <w:t>Įgyvendinta.</w:t>
            </w:r>
            <w:r w:rsidR="009A5058">
              <w:t xml:space="preserve"> </w:t>
            </w:r>
            <w:r w:rsidR="009A5058" w:rsidRPr="009A5058">
              <w:rPr>
                <w:bCs/>
                <w:sz w:val="24"/>
                <w:szCs w:val="24"/>
              </w:rPr>
              <w:t>Įdiegta savivaldybės tinklalapyje interaktyvi vaikų priėmimo į ugdymo įstaigas registracijos sistema (</w:t>
            </w:r>
            <w:proofErr w:type="spellStart"/>
            <w:r w:rsidR="009A5058" w:rsidRPr="009A5058">
              <w:rPr>
                <w:bCs/>
                <w:sz w:val="24"/>
                <w:szCs w:val="24"/>
              </w:rPr>
              <w:t>www.kretinga.lt</w:t>
            </w:r>
            <w:proofErr w:type="spellEnd"/>
            <w:r w:rsidR="009A5058" w:rsidRPr="009A505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9A5058" w:rsidRPr="009A5058">
              <w:rPr>
                <w:bCs/>
                <w:sz w:val="24"/>
                <w:szCs w:val="24"/>
              </w:rPr>
              <w:t>www.svietimas.kretinga.lm.lt</w:t>
            </w:r>
            <w:proofErr w:type="spellEnd"/>
            <w:r w:rsidR="009A5058" w:rsidRPr="009A5058">
              <w:rPr>
                <w:bCs/>
                <w:sz w:val="24"/>
                <w:szCs w:val="24"/>
              </w:rPr>
              <w:t>).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Skelbti interneto svetainėje </w:t>
            </w:r>
            <w:r w:rsidR="00C04630">
              <w:rPr>
                <w:bCs/>
                <w:sz w:val="24"/>
                <w:szCs w:val="24"/>
              </w:rPr>
              <w:t xml:space="preserve">informaciją </w:t>
            </w:r>
            <w:r w:rsidRPr="00BF2A60">
              <w:rPr>
                <w:bCs/>
                <w:sz w:val="24"/>
                <w:szCs w:val="24"/>
              </w:rPr>
              <w:t xml:space="preserve">apie vykstančius, įvykusius, neįvykusius viešuosius </w:t>
            </w:r>
            <w:r w:rsidRPr="00BF2A60">
              <w:rPr>
                <w:bCs/>
                <w:sz w:val="24"/>
                <w:szCs w:val="24"/>
              </w:rPr>
              <w:lastRenderedPageBreak/>
              <w:t>pirkimus.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lastRenderedPageBreak/>
              <w:t xml:space="preserve">Viešųjų pirkimų skyrius, Savivaldybei </w:t>
            </w:r>
            <w:r w:rsidRPr="00BF2A60">
              <w:rPr>
                <w:sz w:val="24"/>
                <w:szCs w:val="24"/>
              </w:rPr>
              <w:lastRenderedPageBreak/>
              <w:t>priklausančios įmonės bei įstaigos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EA6ED0" w:rsidP="00EA6ED0">
            <w:pPr>
              <w:jc w:val="both"/>
              <w:rPr>
                <w:bCs/>
                <w:sz w:val="24"/>
                <w:szCs w:val="24"/>
              </w:rPr>
            </w:pPr>
            <w:r w:rsidRPr="00EA6ED0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Skelbiama</w:t>
            </w:r>
            <w:r>
              <w:t xml:space="preserve"> </w:t>
            </w:r>
            <w:r w:rsidRPr="00EA6ED0">
              <w:rPr>
                <w:bCs/>
                <w:sz w:val="24"/>
                <w:szCs w:val="24"/>
              </w:rPr>
              <w:t>Savivaldybės interneto svetainė</w:t>
            </w:r>
            <w:r>
              <w:rPr>
                <w:bCs/>
                <w:sz w:val="24"/>
                <w:szCs w:val="24"/>
              </w:rPr>
              <w:t>je</w:t>
            </w:r>
            <w:r w:rsidRPr="00EA6E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EA6ED0">
              <w:rPr>
                <w:bCs/>
                <w:sz w:val="24"/>
                <w:szCs w:val="24"/>
              </w:rPr>
              <w:t>www.kretinga.lt</w:t>
            </w:r>
            <w:proofErr w:type="spellEnd"/>
            <w:r>
              <w:t xml:space="preserve"> </w:t>
            </w:r>
            <w:r w:rsidRPr="00EA6ED0">
              <w:rPr>
                <w:bCs/>
                <w:sz w:val="24"/>
                <w:szCs w:val="24"/>
              </w:rPr>
              <w:t>skiltyje</w:t>
            </w:r>
            <w:r>
              <w:rPr>
                <w:bCs/>
                <w:sz w:val="24"/>
                <w:szCs w:val="24"/>
              </w:rPr>
              <w:t xml:space="preserve"> „Viešieji pirkimai“</w:t>
            </w:r>
            <w:r w:rsidR="00106824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2948FE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Paskirti asmenis, atsakingus už korupcijos prevenciją ir kontrolės vykdymą sveikatos priežiūros įstaigose</w:t>
            </w:r>
            <w:r>
              <w:rPr>
                <w:sz w:val="24"/>
                <w:szCs w:val="24"/>
              </w:rPr>
              <w:t xml:space="preserve"> bei </w:t>
            </w:r>
            <w:r w:rsidR="00C04630">
              <w:rPr>
                <w:sz w:val="24"/>
                <w:szCs w:val="24"/>
              </w:rPr>
              <w:t xml:space="preserve">Savivaldybei </w:t>
            </w:r>
            <w:r>
              <w:rPr>
                <w:sz w:val="24"/>
                <w:szCs w:val="24"/>
              </w:rPr>
              <w:t>pavaldžiose įstaigose.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2E4720">
            <w:pPr>
              <w:rPr>
                <w:bCs/>
                <w:sz w:val="24"/>
                <w:szCs w:val="24"/>
              </w:rPr>
            </w:pPr>
            <w:r w:rsidRPr="008711D6">
              <w:rPr>
                <w:bCs/>
                <w:sz w:val="24"/>
                <w:szCs w:val="24"/>
              </w:rPr>
              <w:t>Savivaldybei priklausančios įmonės bei įstaigos.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2948F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 xml:space="preserve"> m.  II ketvirtis</w:t>
            </w:r>
          </w:p>
        </w:tc>
        <w:tc>
          <w:tcPr>
            <w:tcW w:w="5103" w:type="dxa"/>
            <w:shd w:val="clear" w:color="auto" w:fill="auto"/>
          </w:tcPr>
          <w:p w:rsidR="00CC076D" w:rsidRPr="00162EF1" w:rsidRDefault="00106824" w:rsidP="00162EF1">
            <w:pPr>
              <w:jc w:val="both"/>
              <w:rPr>
                <w:bCs/>
                <w:sz w:val="24"/>
                <w:szCs w:val="24"/>
              </w:rPr>
            </w:pPr>
            <w:r w:rsidRPr="00162EF1">
              <w:rPr>
                <w:bCs/>
                <w:sz w:val="24"/>
                <w:szCs w:val="24"/>
              </w:rPr>
              <w:t>Iš dalies įgyvendinta. Paskirtų asmenų, atsakingų už korupcijos prevencijos ir kontrolės vykdymą</w:t>
            </w:r>
            <w:r w:rsidR="00C04630">
              <w:rPr>
                <w:bCs/>
                <w:sz w:val="24"/>
                <w:szCs w:val="24"/>
              </w:rPr>
              <w:t>,</w:t>
            </w:r>
            <w:r w:rsidRPr="00162EF1">
              <w:rPr>
                <w:bCs/>
                <w:sz w:val="24"/>
                <w:szCs w:val="24"/>
              </w:rPr>
              <w:t xml:space="preserve"> neturi SĮ „Kretingos komunalininkas“</w:t>
            </w:r>
            <w:r w:rsidR="004100BE" w:rsidRPr="00162EF1">
              <w:rPr>
                <w:bCs/>
                <w:sz w:val="24"/>
                <w:szCs w:val="24"/>
              </w:rPr>
              <w:t>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5275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Teikti raštu informaciją apie „</w:t>
            </w:r>
            <w:r w:rsidR="00B5275E">
              <w:rPr>
                <w:bCs/>
                <w:sz w:val="24"/>
                <w:szCs w:val="24"/>
              </w:rPr>
              <w:t>K</w:t>
            </w:r>
            <w:r w:rsidRPr="00BF2A60">
              <w:rPr>
                <w:bCs/>
                <w:sz w:val="24"/>
                <w:szCs w:val="24"/>
              </w:rPr>
              <w:t>arštojoje linijoje“ gautus pranešimus.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5275E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A</w:t>
            </w:r>
            <w:r w:rsidR="00B5275E">
              <w:rPr>
                <w:bCs/>
                <w:sz w:val="24"/>
                <w:szCs w:val="24"/>
              </w:rPr>
              <w:t>smuo, a</w:t>
            </w:r>
            <w:r w:rsidRPr="00BF2A60">
              <w:rPr>
                <w:bCs/>
                <w:sz w:val="24"/>
                <w:szCs w:val="24"/>
              </w:rPr>
              <w:t>tsakingas už „Karštosios linijos“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F2A60">
              <w:rPr>
                <w:bCs/>
                <w:sz w:val="24"/>
                <w:szCs w:val="24"/>
              </w:rPr>
              <w:t>administravimą.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Gavus pranešimą</w:t>
            </w:r>
            <w:r w:rsidR="007875F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per 1 dieną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162EF1" w:rsidP="00BF2A60">
            <w:pPr>
              <w:jc w:val="both"/>
              <w:rPr>
                <w:bCs/>
                <w:sz w:val="24"/>
                <w:szCs w:val="24"/>
              </w:rPr>
            </w:pPr>
            <w:r w:rsidRPr="00162EF1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2487C">
              <w:rPr>
                <w:bCs/>
                <w:sz w:val="24"/>
                <w:szCs w:val="24"/>
              </w:rPr>
              <w:t>Nebuvo gauta pranešimų.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7875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Atlikti apklausą</w:t>
            </w:r>
            <w:r w:rsidR="007875F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875F8">
              <w:rPr>
                <w:bCs/>
                <w:sz w:val="24"/>
                <w:szCs w:val="24"/>
              </w:rPr>
              <w:t>siekiant</w:t>
            </w:r>
            <w:r>
              <w:rPr>
                <w:bCs/>
                <w:sz w:val="24"/>
                <w:szCs w:val="24"/>
              </w:rPr>
              <w:t xml:space="preserve"> nustatyti Savivaldybės bei </w:t>
            </w:r>
            <w:r w:rsidR="007875F8">
              <w:rPr>
                <w:bCs/>
                <w:sz w:val="24"/>
                <w:szCs w:val="24"/>
              </w:rPr>
              <w:t xml:space="preserve">jai </w:t>
            </w:r>
            <w:r>
              <w:rPr>
                <w:bCs/>
                <w:sz w:val="24"/>
                <w:szCs w:val="24"/>
              </w:rPr>
              <w:t>pavaldžių įstaigų veiklos sritis, kuriose egzistuoja didelė korupcijos pasireiškimo tikimybė</w:t>
            </w:r>
            <w:r w:rsidR="0002487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9C336E">
            <w:pPr>
              <w:jc w:val="both"/>
              <w:rPr>
                <w:bCs/>
                <w:sz w:val="24"/>
                <w:szCs w:val="24"/>
              </w:rPr>
            </w:pPr>
            <w:r w:rsidRPr="009C336E">
              <w:rPr>
                <w:bCs/>
                <w:sz w:val="24"/>
                <w:szCs w:val="24"/>
              </w:rPr>
              <w:t>Savivaldybės administracijos skyriai, į struktūrinius padalini</w:t>
            </w:r>
            <w:r>
              <w:rPr>
                <w:bCs/>
                <w:sz w:val="24"/>
                <w:szCs w:val="24"/>
              </w:rPr>
              <w:t>ai, pavaldžios įmonės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9C336E">
              <w:rPr>
                <w:bCs/>
                <w:sz w:val="24"/>
                <w:szCs w:val="24"/>
              </w:rPr>
              <w:t xml:space="preserve">Kiekvieną </w:t>
            </w:r>
            <w:r>
              <w:rPr>
                <w:bCs/>
                <w:sz w:val="24"/>
                <w:szCs w:val="24"/>
              </w:rPr>
              <w:t xml:space="preserve">III </w:t>
            </w:r>
            <w:r w:rsidRPr="009C336E">
              <w:rPr>
                <w:bCs/>
                <w:sz w:val="24"/>
                <w:szCs w:val="24"/>
              </w:rPr>
              <w:t>ketvirtį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02487C" w:rsidP="00BF2A60">
            <w:pPr>
              <w:jc w:val="both"/>
              <w:rPr>
                <w:bCs/>
                <w:sz w:val="24"/>
                <w:szCs w:val="24"/>
              </w:rPr>
            </w:pPr>
            <w:r w:rsidRPr="0002487C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Atlikta apklausa.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Tikrinant Savivaldybei priklausančių įmonių bei  įstaigų veiklą, nustačius korupcijos atsiradimo prielaidas, informuoti Komisiją.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825307">
            <w:pPr>
              <w:rPr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kontrolės ir audito</w:t>
            </w:r>
          </w:p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tarnyba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Nuolat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02487C" w:rsidP="0002487C">
            <w:pPr>
              <w:rPr>
                <w:sz w:val="24"/>
                <w:szCs w:val="24"/>
              </w:rPr>
            </w:pPr>
            <w:r w:rsidRPr="0002487C">
              <w:rPr>
                <w:sz w:val="24"/>
                <w:szCs w:val="24"/>
              </w:rPr>
              <w:t>Įgyvendinta.</w:t>
            </w:r>
            <w:r>
              <w:rPr>
                <w:sz w:val="24"/>
                <w:szCs w:val="24"/>
              </w:rPr>
              <w:t xml:space="preserve"> Nebuvo atvejų.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Rengti Savivaldybės politikų, Savivaldybės administracijos darbuotojų, Savivaldybei pavaldžių ir valdymo sričiai priskirtų įmonių darbuotojų antikorupcinius mokymus.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Komisija korupcijos prevencijai,</w:t>
            </w:r>
          </w:p>
          <w:p w:rsidR="00CC076D" w:rsidRPr="00BF2A60" w:rsidRDefault="007875F8" w:rsidP="00BF2A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Bendrasis skyrius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D81E24" w:rsidP="007875F8">
            <w:pPr>
              <w:jc w:val="both"/>
              <w:rPr>
                <w:bCs/>
                <w:sz w:val="24"/>
                <w:szCs w:val="24"/>
              </w:rPr>
            </w:pPr>
            <w:r w:rsidRPr="00D81E24">
              <w:rPr>
                <w:bCs/>
                <w:sz w:val="24"/>
                <w:szCs w:val="24"/>
              </w:rPr>
              <w:t>Neįgyvendinta.</w:t>
            </w:r>
            <w:r w:rsidR="007875F8">
              <w:t xml:space="preserve"> </w:t>
            </w:r>
            <w:r w:rsidR="006C16D5" w:rsidRPr="006C16D5">
              <w:rPr>
                <w:bCs/>
                <w:sz w:val="24"/>
                <w:szCs w:val="24"/>
              </w:rPr>
              <w:t xml:space="preserve">2013 metų savivaldybės programiniame biudžete nebuvo skirta finansavimo.  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Diegti antikorupcines mokymo programas švietimo įstaigose (konkursų, paskaitų ir kt. renginių antikorupcine tema organizavimas).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Švietimo skyriu</w:t>
            </w:r>
            <w:r w:rsidR="007875F8">
              <w:rPr>
                <w:bCs/>
                <w:sz w:val="24"/>
                <w:szCs w:val="24"/>
              </w:rPr>
              <w:t>s, jaunimo reikalų koordinatorė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Kasmet 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AF2AD1" w:rsidP="00AF2AD1">
            <w:pPr>
              <w:jc w:val="both"/>
              <w:rPr>
                <w:bCs/>
                <w:sz w:val="24"/>
                <w:szCs w:val="24"/>
              </w:rPr>
            </w:pPr>
            <w:r w:rsidRPr="00AF2AD1">
              <w:rPr>
                <w:bCs/>
                <w:sz w:val="24"/>
                <w:szCs w:val="24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Antikorupcinės mokymo programos yra integruotos į bendrąsias socialinių mokslų bei dorinio ugdymo programas. K</w:t>
            </w:r>
            <w:r w:rsidRPr="00AF2AD1">
              <w:rPr>
                <w:bCs/>
                <w:sz w:val="24"/>
                <w:szCs w:val="24"/>
              </w:rPr>
              <w:t>onkurs</w:t>
            </w:r>
            <w:r>
              <w:rPr>
                <w:bCs/>
                <w:sz w:val="24"/>
                <w:szCs w:val="24"/>
              </w:rPr>
              <w:t>ai</w:t>
            </w:r>
            <w:r w:rsidRPr="00AF2AD1">
              <w:rPr>
                <w:bCs/>
                <w:sz w:val="24"/>
                <w:szCs w:val="24"/>
              </w:rPr>
              <w:t>, paskait</w:t>
            </w:r>
            <w:r>
              <w:rPr>
                <w:bCs/>
                <w:sz w:val="24"/>
                <w:szCs w:val="24"/>
              </w:rPr>
              <w:t>os</w:t>
            </w:r>
            <w:r w:rsidRPr="00AF2AD1">
              <w:rPr>
                <w:bCs/>
                <w:sz w:val="24"/>
                <w:szCs w:val="24"/>
              </w:rPr>
              <w:t xml:space="preserve"> ir kt. rengini</w:t>
            </w:r>
            <w:r>
              <w:rPr>
                <w:bCs/>
                <w:sz w:val="24"/>
                <w:szCs w:val="24"/>
              </w:rPr>
              <w:t>ai</w:t>
            </w:r>
            <w:r w:rsidRPr="00AF2AD1">
              <w:rPr>
                <w:bCs/>
                <w:sz w:val="24"/>
                <w:szCs w:val="24"/>
              </w:rPr>
              <w:t xml:space="preserve"> antikorupcine tema organiz</w:t>
            </w:r>
            <w:r>
              <w:rPr>
                <w:bCs/>
                <w:sz w:val="24"/>
                <w:szCs w:val="24"/>
              </w:rPr>
              <w:t>uojami pagal mokyklų metinius veiklos planus.</w:t>
            </w:r>
          </w:p>
        </w:tc>
      </w:tr>
      <w:tr w:rsidR="00CC076D" w:rsidRPr="00BF2A60" w:rsidTr="00D81E24">
        <w:tc>
          <w:tcPr>
            <w:tcW w:w="648" w:type="dxa"/>
            <w:shd w:val="clear" w:color="auto" w:fill="auto"/>
          </w:tcPr>
          <w:p w:rsidR="00CC076D" w:rsidRPr="00BF2A60" w:rsidRDefault="00CC076D" w:rsidP="00B70F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855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 xml:space="preserve">Savivaldybės administracijos skyriai, pavaldžios įstaigos privalo nustatyti korupcijos požiūriu rizikingiausias veiklos sritis. 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467432">
            <w:pPr>
              <w:rPr>
                <w:bCs/>
                <w:sz w:val="24"/>
                <w:szCs w:val="24"/>
              </w:rPr>
            </w:pPr>
            <w:r w:rsidRPr="00BF2A60">
              <w:rPr>
                <w:sz w:val="24"/>
                <w:szCs w:val="24"/>
              </w:rPr>
              <w:t>Savivaldybės administracijos skyriai, įmonės, įstaigos</w:t>
            </w:r>
          </w:p>
        </w:tc>
        <w:tc>
          <w:tcPr>
            <w:tcW w:w="2409" w:type="dxa"/>
            <w:shd w:val="clear" w:color="auto" w:fill="auto"/>
          </w:tcPr>
          <w:p w:rsidR="00CC076D" w:rsidRPr="00BF2A60" w:rsidRDefault="00CC076D" w:rsidP="00BF2A60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Kasmet iki III ketvirčio</w:t>
            </w:r>
          </w:p>
        </w:tc>
        <w:tc>
          <w:tcPr>
            <w:tcW w:w="5103" w:type="dxa"/>
            <w:shd w:val="clear" w:color="auto" w:fill="auto"/>
          </w:tcPr>
          <w:p w:rsidR="00CC076D" w:rsidRPr="00BF2A60" w:rsidRDefault="00D81E24" w:rsidP="00BF2A60">
            <w:pPr>
              <w:jc w:val="both"/>
              <w:rPr>
                <w:bCs/>
                <w:sz w:val="24"/>
                <w:szCs w:val="24"/>
              </w:rPr>
            </w:pPr>
            <w:r w:rsidRPr="00D81E24">
              <w:rPr>
                <w:bCs/>
                <w:sz w:val="24"/>
                <w:szCs w:val="24"/>
              </w:rPr>
              <w:t>Įgyvendinta.</w:t>
            </w:r>
          </w:p>
        </w:tc>
      </w:tr>
    </w:tbl>
    <w:p w:rsidR="007357CF" w:rsidRDefault="007357CF" w:rsidP="007E2E2A"/>
    <w:p w:rsidR="005668ED" w:rsidRDefault="005668ED" w:rsidP="005668ED">
      <w:pPr>
        <w:jc w:val="center"/>
      </w:pPr>
      <w:r>
        <w:t>__________________________________________</w:t>
      </w:r>
    </w:p>
    <w:sectPr w:rsidR="005668ED" w:rsidSect="00927FF8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CF"/>
    <w:rsid w:val="0002487C"/>
    <w:rsid w:val="0003542F"/>
    <w:rsid w:val="000568C3"/>
    <w:rsid w:val="00067E7B"/>
    <w:rsid w:val="00086E14"/>
    <w:rsid w:val="000B5352"/>
    <w:rsid w:val="000C4895"/>
    <w:rsid w:val="000C70E6"/>
    <w:rsid w:val="000D1A49"/>
    <w:rsid w:val="000F720B"/>
    <w:rsid w:val="00101472"/>
    <w:rsid w:val="00106824"/>
    <w:rsid w:val="0011051A"/>
    <w:rsid w:val="00111147"/>
    <w:rsid w:val="00135F6C"/>
    <w:rsid w:val="00137885"/>
    <w:rsid w:val="00160690"/>
    <w:rsid w:val="00162EF1"/>
    <w:rsid w:val="001930BE"/>
    <w:rsid w:val="001C5145"/>
    <w:rsid w:val="001E1BED"/>
    <w:rsid w:val="00201A69"/>
    <w:rsid w:val="00212AE8"/>
    <w:rsid w:val="002377E5"/>
    <w:rsid w:val="002948FE"/>
    <w:rsid w:val="002E4720"/>
    <w:rsid w:val="00310DB6"/>
    <w:rsid w:val="00323222"/>
    <w:rsid w:val="00333908"/>
    <w:rsid w:val="00341575"/>
    <w:rsid w:val="003470B8"/>
    <w:rsid w:val="00380321"/>
    <w:rsid w:val="0039259C"/>
    <w:rsid w:val="003A04B5"/>
    <w:rsid w:val="003C00BB"/>
    <w:rsid w:val="003C0B07"/>
    <w:rsid w:val="003C5EC1"/>
    <w:rsid w:val="003E70F8"/>
    <w:rsid w:val="003F3D27"/>
    <w:rsid w:val="00407726"/>
    <w:rsid w:val="004100BE"/>
    <w:rsid w:val="00432B7C"/>
    <w:rsid w:val="00467432"/>
    <w:rsid w:val="00471443"/>
    <w:rsid w:val="004A1D28"/>
    <w:rsid w:val="004B19AC"/>
    <w:rsid w:val="004B2086"/>
    <w:rsid w:val="004C10FA"/>
    <w:rsid w:val="004C1339"/>
    <w:rsid w:val="004D08E2"/>
    <w:rsid w:val="004D47EA"/>
    <w:rsid w:val="004F322E"/>
    <w:rsid w:val="004F4F61"/>
    <w:rsid w:val="00502DE6"/>
    <w:rsid w:val="00502FD1"/>
    <w:rsid w:val="00513734"/>
    <w:rsid w:val="005228B9"/>
    <w:rsid w:val="00564B0C"/>
    <w:rsid w:val="005668ED"/>
    <w:rsid w:val="005926DF"/>
    <w:rsid w:val="0059315D"/>
    <w:rsid w:val="00604902"/>
    <w:rsid w:val="00630A50"/>
    <w:rsid w:val="00636F3C"/>
    <w:rsid w:val="00640446"/>
    <w:rsid w:val="0065116B"/>
    <w:rsid w:val="00663A33"/>
    <w:rsid w:val="00675E74"/>
    <w:rsid w:val="006868B7"/>
    <w:rsid w:val="00694441"/>
    <w:rsid w:val="006B6338"/>
    <w:rsid w:val="006C16D5"/>
    <w:rsid w:val="006C34A3"/>
    <w:rsid w:val="006C4DBD"/>
    <w:rsid w:val="006D260C"/>
    <w:rsid w:val="006D3BE1"/>
    <w:rsid w:val="006F70FF"/>
    <w:rsid w:val="00700176"/>
    <w:rsid w:val="00703624"/>
    <w:rsid w:val="00712077"/>
    <w:rsid w:val="007357CF"/>
    <w:rsid w:val="00744BFF"/>
    <w:rsid w:val="00767062"/>
    <w:rsid w:val="007714C4"/>
    <w:rsid w:val="007875F8"/>
    <w:rsid w:val="007C0976"/>
    <w:rsid w:val="007D4DC7"/>
    <w:rsid w:val="007E2E2A"/>
    <w:rsid w:val="007E2E6F"/>
    <w:rsid w:val="007F0ABB"/>
    <w:rsid w:val="007F1B51"/>
    <w:rsid w:val="007F2B7F"/>
    <w:rsid w:val="00816FB7"/>
    <w:rsid w:val="00823C6A"/>
    <w:rsid w:val="00825307"/>
    <w:rsid w:val="00851DE6"/>
    <w:rsid w:val="00857292"/>
    <w:rsid w:val="00862779"/>
    <w:rsid w:val="008711D6"/>
    <w:rsid w:val="00891529"/>
    <w:rsid w:val="008A3D4A"/>
    <w:rsid w:val="008A640E"/>
    <w:rsid w:val="008A7D99"/>
    <w:rsid w:val="008C774D"/>
    <w:rsid w:val="008D348C"/>
    <w:rsid w:val="008D67C9"/>
    <w:rsid w:val="009121D0"/>
    <w:rsid w:val="00912E83"/>
    <w:rsid w:val="00927FF8"/>
    <w:rsid w:val="00942E5A"/>
    <w:rsid w:val="009436AF"/>
    <w:rsid w:val="00945ED7"/>
    <w:rsid w:val="0096014F"/>
    <w:rsid w:val="0098082D"/>
    <w:rsid w:val="009A5058"/>
    <w:rsid w:val="009C336E"/>
    <w:rsid w:val="009C6440"/>
    <w:rsid w:val="009D3E71"/>
    <w:rsid w:val="009E49CD"/>
    <w:rsid w:val="00A24B89"/>
    <w:rsid w:val="00A426D8"/>
    <w:rsid w:val="00A57D88"/>
    <w:rsid w:val="00A7130A"/>
    <w:rsid w:val="00A92706"/>
    <w:rsid w:val="00AC3A86"/>
    <w:rsid w:val="00AC4C66"/>
    <w:rsid w:val="00AD2B64"/>
    <w:rsid w:val="00AD4F99"/>
    <w:rsid w:val="00AD520E"/>
    <w:rsid w:val="00AF2180"/>
    <w:rsid w:val="00AF2AD1"/>
    <w:rsid w:val="00AF3D22"/>
    <w:rsid w:val="00B012D4"/>
    <w:rsid w:val="00B07757"/>
    <w:rsid w:val="00B36A2E"/>
    <w:rsid w:val="00B37EE0"/>
    <w:rsid w:val="00B44443"/>
    <w:rsid w:val="00B47ECA"/>
    <w:rsid w:val="00B5275E"/>
    <w:rsid w:val="00B6541A"/>
    <w:rsid w:val="00B660C3"/>
    <w:rsid w:val="00B67A1D"/>
    <w:rsid w:val="00B70F02"/>
    <w:rsid w:val="00BB5F93"/>
    <w:rsid w:val="00BC3E26"/>
    <w:rsid w:val="00BD711A"/>
    <w:rsid w:val="00BE6CA6"/>
    <w:rsid w:val="00BF2A60"/>
    <w:rsid w:val="00C04630"/>
    <w:rsid w:val="00C20575"/>
    <w:rsid w:val="00C40C11"/>
    <w:rsid w:val="00C52247"/>
    <w:rsid w:val="00C53BB6"/>
    <w:rsid w:val="00C60FD6"/>
    <w:rsid w:val="00C65CE7"/>
    <w:rsid w:val="00C718F8"/>
    <w:rsid w:val="00CA3828"/>
    <w:rsid w:val="00CB16A2"/>
    <w:rsid w:val="00CB391B"/>
    <w:rsid w:val="00CC076D"/>
    <w:rsid w:val="00CC5636"/>
    <w:rsid w:val="00CD07EA"/>
    <w:rsid w:val="00CD6074"/>
    <w:rsid w:val="00CE7B4E"/>
    <w:rsid w:val="00CF6252"/>
    <w:rsid w:val="00D06334"/>
    <w:rsid w:val="00D11BDA"/>
    <w:rsid w:val="00D3439C"/>
    <w:rsid w:val="00D7313A"/>
    <w:rsid w:val="00D731F6"/>
    <w:rsid w:val="00D81ABC"/>
    <w:rsid w:val="00D81E24"/>
    <w:rsid w:val="00D92522"/>
    <w:rsid w:val="00D93AFF"/>
    <w:rsid w:val="00D96C83"/>
    <w:rsid w:val="00DA0956"/>
    <w:rsid w:val="00DA5C11"/>
    <w:rsid w:val="00DC3306"/>
    <w:rsid w:val="00DF035A"/>
    <w:rsid w:val="00E00529"/>
    <w:rsid w:val="00E07D73"/>
    <w:rsid w:val="00E4363D"/>
    <w:rsid w:val="00E56129"/>
    <w:rsid w:val="00E7233A"/>
    <w:rsid w:val="00E74755"/>
    <w:rsid w:val="00E74E4C"/>
    <w:rsid w:val="00E86E7C"/>
    <w:rsid w:val="00EA0273"/>
    <w:rsid w:val="00EA6ED0"/>
    <w:rsid w:val="00EB0CA8"/>
    <w:rsid w:val="00EC4973"/>
    <w:rsid w:val="00EE1FF4"/>
    <w:rsid w:val="00EE5A94"/>
    <w:rsid w:val="00EF2186"/>
    <w:rsid w:val="00EF4E0C"/>
    <w:rsid w:val="00EF7718"/>
    <w:rsid w:val="00F05355"/>
    <w:rsid w:val="00F05981"/>
    <w:rsid w:val="00F05B48"/>
    <w:rsid w:val="00F1086C"/>
    <w:rsid w:val="00F1285B"/>
    <w:rsid w:val="00F167B9"/>
    <w:rsid w:val="00F27648"/>
    <w:rsid w:val="00F27D12"/>
    <w:rsid w:val="00F44FF1"/>
    <w:rsid w:val="00F51FD3"/>
    <w:rsid w:val="00F646A9"/>
    <w:rsid w:val="00F6712F"/>
    <w:rsid w:val="00F740DD"/>
    <w:rsid w:val="00FA1F7A"/>
    <w:rsid w:val="00FB5D96"/>
    <w:rsid w:val="00FB77DE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57CF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57CF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ting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9266-ABD3-4203-ADD1-1A2E9092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7408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3</cp:revision>
  <cp:lastPrinted>2012-12-12T11:31:00Z</cp:lastPrinted>
  <dcterms:created xsi:type="dcterms:W3CDTF">2014-02-20T08:08:00Z</dcterms:created>
  <dcterms:modified xsi:type="dcterms:W3CDTF">2014-03-03T09:02:00Z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