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CAC1" w14:textId="77777777" w:rsidR="00464E27" w:rsidRDefault="00464E27" w:rsidP="00464E27">
      <w:pPr>
        <w:jc w:val="center"/>
        <w:rPr>
          <w:b/>
        </w:rPr>
      </w:pPr>
      <w:r>
        <w:rPr>
          <w:b/>
        </w:rPr>
        <w:t>AIŠKINAMASIS RAŠTAS</w:t>
      </w:r>
    </w:p>
    <w:p w14:paraId="3F9B4506" w14:textId="77777777" w:rsidR="00464E27" w:rsidRDefault="00464E27" w:rsidP="00464E27">
      <w:pPr>
        <w:jc w:val="center"/>
        <w:rPr>
          <w:b/>
          <w:szCs w:val="24"/>
        </w:rPr>
      </w:pPr>
      <w:r>
        <w:rPr>
          <w:b/>
          <w:szCs w:val="24"/>
        </w:rPr>
        <w:t xml:space="preserve">PRIE </w:t>
      </w:r>
      <w:r w:rsidRPr="00BB21B6">
        <w:rPr>
          <w:b/>
          <w:szCs w:val="24"/>
        </w:rPr>
        <w:t>KRETINGOS RAJONO SAVIVALDYBĖS TARYBOS SPRENDIMO PROJEKTO</w:t>
      </w:r>
    </w:p>
    <w:p w14:paraId="42B3DB22" w14:textId="77777777" w:rsidR="00464E27" w:rsidRDefault="00464E27" w:rsidP="00464E27">
      <w:pPr>
        <w:jc w:val="center"/>
        <w:rPr>
          <w:b/>
        </w:rPr>
      </w:pPr>
      <w:r>
        <w:rPr>
          <w:b/>
          <w:caps/>
          <w:szCs w:val="24"/>
        </w:rPr>
        <w:t>„DĖL NEATLYGINTINĖS MOBILIZACINIO UŽSAKYMO IR (AR) PRIIMANČIOS ŠALIES PARAMOS TEIKIMO SUTARTIES PAVYZDINĖS FORMOS PATVIRTINIMO“</w:t>
      </w:r>
    </w:p>
    <w:p w14:paraId="08EA8D08" w14:textId="77777777" w:rsidR="00464E27" w:rsidRDefault="00464E27" w:rsidP="00464E27">
      <w:pPr>
        <w:rPr>
          <w:b/>
        </w:rPr>
      </w:pPr>
    </w:p>
    <w:p w14:paraId="2931320A" w14:textId="77777777" w:rsidR="00464E27" w:rsidRDefault="00464E27" w:rsidP="00464E27">
      <w:pPr>
        <w:ind w:firstLine="720"/>
        <w:jc w:val="center"/>
      </w:pPr>
      <w:r>
        <w:t xml:space="preserve">2025 m. birželio     d. </w:t>
      </w:r>
    </w:p>
    <w:p w14:paraId="5F598412" w14:textId="77777777" w:rsidR="00464E27" w:rsidRDefault="00464E27" w:rsidP="00464E27">
      <w:pPr>
        <w:ind w:firstLine="720"/>
        <w:jc w:val="center"/>
        <w:rPr>
          <w:b/>
        </w:rPr>
      </w:pPr>
      <w:r>
        <w:t>Kretinga</w:t>
      </w:r>
    </w:p>
    <w:p w14:paraId="082C8999" w14:textId="77777777" w:rsidR="00464E27" w:rsidRDefault="00464E27" w:rsidP="00AB1276">
      <w:pPr>
        <w:ind w:firstLine="851"/>
        <w:jc w:val="both"/>
        <w:rPr>
          <w:b/>
        </w:rPr>
      </w:pPr>
    </w:p>
    <w:p w14:paraId="2FA76B01" w14:textId="63FD26C4" w:rsidR="00464E27" w:rsidRDefault="00464E27" w:rsidP="00AB1276">
      <w:pPr>
        <w:ind w:firstLine="851"/>
        <w:jc w:val="both"/>
        <w:rPr>
          <w:b/>
        </w:rPr>
      </w:pPr>
      <w:r>
        <w:rPr>
          <w:b/>
        </w:rPr>
        <w:t xml:space="preserve">1. </w:t>
      </w:r>
      <w:r w:rsidR="00381F12" w:rsidRPr="00381F12">
        <w:rPr>
          <w:b/>
        </w:rPr>
        <w:t>Parengto sprendimo projekto tikslas ir uždaviniai.</w:t>
      </w:r>
    </w:p>
    <w:p w14:paraId="44C0D696" w14:textId="77777777" w:rsidR="00464E27" w:rsidRDefault="00464E27" w:rsidP="00AB1276">
      <w:pPr>
        <w:ind w:firstLine="851"/>
        <w:jc w:val="both"/>
      </w:pPr>
      <w:r>
        <w:t xml:space="preserve">Sprendimo projektu siūloma patvirtinti Neatlygintinės mobilizacinio užsakymo ir (ar) priimančios šalies paramos teikimo sutarties pavyzdinę formą (toliau – Sutartis). Tvirtinimui teikiama Sutarties forma, parengta vadovaujantis </w:t>
      </w:r>
      <w:r>
        <w:rPr>
          <w:szCs w:val="24"/>
        </w:rPr>
        <w:t xml:space="preserve">Civilinių mobilizacinių institucijų mobilizacijos planų sudarymo metodinių rekomendacijų, patvirtintų Mobilizacijos ir pilietinio pasipriešinimo departamento prie Krašto apsaugos ministerijos direktoriaus 2021 m. kovo 30 d. įsakymu Nr. V-29 „Dėl Civilinių mobilizacijos institucijų mobilizacijos planų sudarymo metodinių rekomendacijų tvirtinimo“ (toliau – Rekomendacijos), 13 punktu bei atsižvelgiant į Kretingos rajono savivaldybės vardu sudaromų sutarčių pasirašymo tvarkos aprašo, patvirtinto Kretingos rajono savivaldybės tarybos </w:t>
      </w:r>
      <w:r w:rsidRPr="00C942FC">
        <w:rPr>
          <w:szCs w:val="24"/>
        </w:rPr>
        <w:t xml:space="preserve">2023 m. birželio 29 d. sprendimu Nr. T2-190 </w:t>
      </w:r>
      <w:r>
        <w:rPr>
          <w:szCs w:val="24"/>
        </w:rPr>
        <w:t>„Dėl Kretingos rajono savivaldybės vardu sudaromų sutarčių rengimo ir pasirašymo tvarkos aprašo patvirtinimo“, reikalavimus.</w:t>
      </w:r>
    </w:p>
    <w:p w14:paraId="34F50E70" w14:textId="43A64F84" w:rsidR="00464E27" w:rsidRDefault="00464E27" w:rsidP="00AB1276">
      <w:pPr>
        <w:ind w:firstLine="851"/>
        <w:jc w:val="both"/>
      </w:pPr>
      <w:r>
        <w:rPr>
          <w:rFonts w:eastAsia="TimesNewRomanPSMT"/>
          <w:b/>
          <w:szCs w:val="24"/>
        </w:rPr>
        <w:t>2.</w:t>
      </w:r>
      <w:r w:rsidR="00381F12">
        <w:rPr>
          <w:rFonts w:eastAsia="TimesNewRomanPSMT"/>
          <w:b/>
          <w:szCs w:val="24"/>
        </w:rPr>
        <w:t xml:space="preserve"> </w:t>
      </w:r>
      <w:r w:rsidR="00381F12" w:rsidRPr="00381F12">
        <w:rPr>
          <w:rFonts w:eastAsia="TimesNewRomanPSMT"/>
          <w:b/>
          <w:szCs w:val="24"/>
        </w:rPr>
        <w:t>Siūlomos teisinio reguliavimo nuostatos, šiuo metu esantis teisinis reglamentavimas, kokie šios srities teisės aktai tebegalioja ir kokius teisės aktus būtina pakeisti ar panaikinti, priėmus teikiamą tarybos sprendimo projektą.</w:t>
      </w:r>
    </w:p>
    <w:p w14:paraId="38379F47" w14:textId="77777777" w:rsidR="00464E27" w:rsidRDefault="00464E27" w:rsidP="00AB1276">
      <w:pPr>
        <w:ind w:firstLine="851"/>
        <w:jc w:val="both"/>
        <w:rPr>
          <w:bCs/>
          <w:color w:val="000000"/>
        </w:rPr>
      </w:pPr>
      <w:r>
        <w:rPr>
          <w:color w:val="000000"/>
        </w:rPr>
        <w:t xml:space="preserve">Vadovaujantis </w:t>
      </w:r>
      <w:r>
        <w:rPr>
          <w:bCs/>
          <w:color w:val="000000"/>
        </w:rPr>
        <w:t xml:space="preserve">Lietuvos Respublikos mobilizacijos ir priimančiosios šalies paramos įstatymo nuostatomis, mobilizacinio užsakymo ir (ar) priimančiosios šalies paramos teikimo sutartis sudaro civilinė mobilizacijos institucija ir (ar) civilinės mobilizacijos institucijos pavaldus subjektas (šis subjektas yra reikalingas civilinei mobilizacijos institucijai skirtų </w:t>
      </w:r>
      <w:r>
        <w:rPr>
          <w:color w:val="000000"/>
        </w:rPr>
        <w:t xml:space="preserve">valstybinių mobilizacinių užduočių, patvirtintų Lietuvos Respublikos Vyriausybės 2022 m. sausio 5 d. nutarimu Nr. 23 „Dėl Lietuvos Respublikos mobilizacijos ir priimančiosios šalies paramos įstatymo įgyvendinimo“, </w:t>
      </w:r>
      <w:r>
        <w:rPr>
          <w:bCs/>
          <w:color w:val="000000"/>
        </w:rPr>
        <w:t>vykdymui ir yra įtraukiamas į civilinės mobilizacijos institucijos mobilizacijos planą).</w:t>
      </w:r>
    </w:p>
    <w:p w14:paraId="48E6304C" w14:textId="77777777" w:rsidR="00464E27" w:rsidRDefault="00464E27" w:rsidP="00AB1276">
      <w:pPr>
        <w:ind w:firstLine="851"/>
        <w:jc w:val="both"/>
        <w:rPr>
          <w:rFonts w:eastAsia="TimesNewRomanPSMT"/>
          <w:b/>
          <w:color w:val="000000"/>
          <w:szCs w:val="24"/>
        </w:rPr>
      </w:pPr>
      <w:r>
        <w:rPr>
          <w:bCs/>
          <w:color w:val="000000"/>
        </w:rPr>
        <w:t xml:space="preserve">Mobilizacijos ir pilietinio pasipriešinimo departamento prie Krašto apsaugos ministerijos direktoriau 2025 m. balandžio 15 d. įsakymu Nr. V-106 „Dėl Mobilizacijos ir pilietinio pasipriešinimo departamento prie Krašto apsaugos ministerijos direktoriaus 2021 m. kovo 30 d. įsakymo Nr. V-29 „Dėl Civilinių mobilizacijos institucijų mobilizacijos planų sudarymo metodinių rekomendacijų tvirtinimo“ pakeitimo“ buvo atnaujintos Rekomendacijos, t. y. papildytos 25 priedu </w:t>
      </w:r>
      <w:r>
        <w:rPr>
          <w:bCs/>
          <w:iCs/>
          <w:color w:val="000000"/>
        </w:rPr>
        <w:t>„Mobilizacinio užsakymo ir (ar) priimančiosios šalies paramos teikimo sutarčių sudarymo rekomendacijos“,</w:t>
      </w:r>
      <w:r>
        <w:rPr>
          <w:bCs/>
          <w:color w:val="000000"/>
        </w:rPr>
        <w:t xml:space="preserve"> kuriame apibrėžiamos mobilizacinio užsakymo ir (ar) priimančiosios šalies paramos teikimo sutarčių rūšys, sutarčių sudarymo ir apmokėjimo principai bei pateikiamas Neatlygintinės mobilizacinio užsakymo ir (ar) priimančiosios šalies paramos sutarties formos pavyzdys.</w:t>
      </w:r>
    </w:p>
    <w:p w14:paraId="41D7B4B7" w14:textId="23396AA4" w:rsidR="00464E27" w:rsidRDefault="00464E27" w:rsidP="00AB1276">
      <w:pPr>
        <w:ind w:firstLine="851"/>
        <w:jc w:val="both"/>
        <w:rPr>
          <w:b/>
        </w:rPr>
      </w:pPr>
      <w:r>
        <w:rPr>
          <w:rFonts w:eastAsia="TimesNewRomanPSMT"/>
          <w:b/>
          <w:szCs w:val="24"/>
        </w:rPr>
        <w:t xml:space="preserve">3. </w:t>
      </w:r>
      <w:r w:rsidR="00951D46" w:rsidRPr="00951D46">
        <w:rPr>
          <w:b/>
        </w:rPr>
        <w:t>Kokių rezultatų laukiama.</w:t>
      </w:r>
    </w:p>
    <w:p w14:paraId="0B3CB9E8" w14:textId="77777777" w:rsidR="00464E27" w:rsidRDefault="00464E27" w:rsidP="00AB1276">
      <w:pPr>
        <w:ind w:firstLine="851"/>
        <w:jc w:val="both"/>
        <w:rPr>
          <w:b/>
        </w:rPr>
      </w:pPr>
      <w:r>
        <w:rPr>
          <w:bCs/>
          <w:szCs w:val="28"/>
        </w:rPr>
        <w:t>Rekomendacijose nustatyta, kad mobilizacinio užsakymo ir (ar) priimančiosios šalies paramos teikimo sutartis gali būti sudaryta civilinės mobilizacijos institucijos ir (ar) civilinės mobilizacijos institucijos pavaldaus subjekto. Pažymėtina, kad Neatlygintinė mobilizacinio užsakymo ir (ar) priimančiosios šalies paramos teikimo sutartis turi būti sudaryta taikos metu, pagal kurią ūkio subjektas netiekia prekių, neteikia paslaugų ar neatlieka darbų, tačiau šia Sutartimi yra sutarta, kad, paskelbus mobilizaciją, esant poreikiui, su šiuo ūkio subjektu bus sudaryta atlygintinė mobilizacinio užsakymo ir (ar) priimančiosios šalies paramos teikimo sutartis dėl sutartų prekių, paslaugų ar darbų.</w:t>
      </w:r>
    </w:p>
    <w:p w14:paraId="33B4C290" w14:textId="0BD15840" w:rsidR="00464E27" w:rsidRDefault="00464E27" w:rsidP="00AB1276">
      <w:pPr>
        <w:ind w:firstLine="851"/>
        <w:jc w:val="both"/>
        <w:rPr>
          <w:b/>
        </w:rPr>
      </w:pPr>
      <w:r>
        <w:rPr>
          <w:rFonts w:eastAsia="TimesNewRomanPSMT"/>
          <w:b/>
          <w:szCs w:val="24"/>
        </w:rPr>
        <w:t xml:space="preserve">4. </w:t>
      </w:r>
      <w:r w:rsidR="00951D46" w:rsidRPr="00951D46">
        <w:rPr>
          <w:b/>
        </w:rPr>
        <w:t>Lėšų poreikis ir šaltiniai.</w:t>
      </w:r>
    </w:p>
    <w:p w14:paraId="3898DA84" w14:textId="77777777" w:rsidR="00464E27" w:rsidRDefault="00464E27" w:rsidP="00AB1276">
      <w:pPr>
        <w:ind w:firstLine="851"/>
        <w:jc w:val="both"/>
        <w:rPr>
          <w:b/>
        </w:rPr>
      </w:pPr>
      <w:r>
        <w:t>Papildomų lėšų poreikio nėra.</w:t>
      </w:r>
    </w:p>
    <w:p w14:paraId="5B03C960" w14:textId="670350E0" w:rsidR="00464E27" w:rsidRDefault="00464E27" w:rsidP="00AB1276">
      <w:pPr>
        <w:ind w:firstLine="851"/>
        <w:jc w:val="both"/>
        <w:rPr>
          <w:rFonts w:eastAsia="TimesNewRomanPSMT"/>
          <w:b/>
          <w:szCs w:val="24"/>
        </w:rPr>
      </w:pPr>
      <w:r>
        <w:rPr>
          <w:b/>
        </w:rPr>
        <w:t xml:space="preserve">5. </w:t>
      </w:r>
      <w:r w:rsidR="00381F12" w:rsidRPr="00381F12">
        <w:rPr>
          <w:b/>
        </w:rPr>
        <w:t>Kiti sprendimui priimti reikalingi pagrindimai, skaičiavimai ar paaiškinimai.</w:t>
      </w:r>
    </w:p>
    <w:p w14:paraId="3B515665" w14:textId="77777777" w:rsidR="00464E27" w:rsidRDefault="00464E27" w:rsidP="00AB1276">
      <w:pPr>
        <w:ind w:firstLine="851"/>
        <w:jc w:val="both"/>
      </w:pPr>
      <w:r>
        <w:rPr>
          <w:rFonts w:eastAsia="TimesNewRomanPSMT"/>
          <w:szCs w:val="24"/>
        </w:rPr>
        <w:t>Nėra.</w:t>
      </w:r>
    </w:p>
    <w:p w14:paraId="3A6C3776" w14:textId="0C8A848E" w:rsidR="00464E27" w:rsidRDefault="00E11C5E" w:rsidP="00AB1276">
      <w:pPr>
        <w:ind w:firstLine="851"/>
        <w:jc w:val="both"/>
        <w:rPr>
          <w:rFonts w:eastAsia="TimesNewRomanPSMT"/>
          <w:b/>
          <w:szCs w:val="24"/>
        </w:rPr>
      </w:pPr>
      <w:r>
        <w:rPr>
          <w:b/>
        </w:rPr>
        <w:lastRenderedPageBreak/>
        <w:t xml:space="preserve">6. </w:t>
      </w:r>
      <w:r w:rsidR="00381F12" w:rsidRPr="00381F12">
        <w:rPr>
          <w:b/>
        </w:rPr>
        <w:t>Teisės akto projekto antikorupcinio vertinimo išvada dėl sprendimo projekto teikimo antikorupciniam vertinimui.</w:t>
      </w:r>
    </w:p>
    <w:p w14:paraId="64986A61" w14:textId="77777777" w:rsidR="00464E27" w:rsidRDefault="00464E27" w:rsidP="00AB1276">
      <w:pPr>
        <w:ind w:firstLine="851"/>
        <w:jc w:val="both"/>
        <w:rPr>
          <w:b/>
        </w:rPr>
      </w:pPr>
      <w:r>
        <w:rPr>
          <w:rFonts w:eastAsia="TimesNewRomanPSMT"/>
          <w:szCs w:val="24"/>
        </w:rPr>
        <w:t>Nėra.</w:t>
      </w:r>
    </w:p>
    <w:p w14:paraId="237A519A" w14:textId="4126889A" w:rsidR="00464E27" w:rsidRDefault="00464E27" w:rsidP="00AB1276">
      <w:pPr>
        <w:ind w:firstLine="851"/>
        <w:jc w:val="both"/>
        <w:rPr>
          <w:b/>
        </w:rPr>
      </w:pPr>
      <w:r>
        <w:rPr>
          <w:rFonts w:eastAsia="TimesNewRomanPSMT"/>
          <w:b/>
          <w:szCs w:val="24"/>
        </w:rPr>
        <w:t xml:space="preserve">7. </w:t>
      </w:r>
      <w:r w:rsidRPr="00C942FC">
        <w:rPr>
          <w:b/>
        </w:rPr>
        <w:t>Autorius ar autorių grupė.</w:t>
      </w:r>
    </w:p>
    <w:p w14:paraId="4187854E" w14:textId="09DE2B02" w:rsidR="0071607B" w:rsidRPr="00E11C5E" w:rsidRDefault="00464E27" w:rsidP="00E11C5E">
      <w:pPr>
        <w:tabs>
          <w:tab w:val="left" w:pos="720"/>
        </w:tabs>
        <w:ind w:firstLine="851"/>
        <w:jc w:val="both"/>
        <w:rPr>
          <w:b/>
        </w:rPr>
      </w:pPr>
      <w:r w:rsidRPr="00C942FC">
        <w:rPr>
          <w:rFonts w:eastAsia="Lucida Sans Unicode"/>
          <w:kern w:val="2"/>
        </w:rPr>
        <w:t xml:space="preserve">Civilinės saugos ir viešosios tvarkos skyriaus </w:t>
      </w:r>
      <w:r w:rsidR="00824D1C">
        <w:rPr>
          <w:rFonts w:eastAsia="Lucida Sans Unicode"/>
          <w:kern w:val="2"/>
        </w:rPr>
        <w:t>vyriausiasis specialistas</w:t>
      </w:r>
      <w:bookmarkStart w:id="0" w:name="_GoBack"/>
      <w:bookmarkEnd w:id="0"/>
      <w:r>
        <w:rPr>
          <w:rFonts w:eastAsia="Lucida Sans Unicode"/>
          <w:kern w:val="2"/>
        </w:rPr>
        <w:t xml:space="preserve"> Gintaras </w:t>
      </w:r>
      <w:proofErr w:type="spellStart"/>
      <w:r>
        <w:rPr>
          <w:rFonts w:eastAsia="Lucida Sans Unicode"/>
          <w:kern w:val="2"/>
        </w:rPr>
        <w:t>Bruzdeilinas</w:t>
      </w:r>
      <w:proofErr w:type="spellEnd"/>
      <w:r w:rsidRPr="00464E27">
        <w:rPr>
          <w:bCs/>
        </w:rPr>
        <w:t>.</w:t>
      </w:r>
    </w:p>
    <w:sectPr w:rsidR="0071607B" w:rsidRPr="00E11C5E" w:rsidSect="00464E27">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35B2" w14:textId="77777777" w:rsidR="00F158BF" w:rsidRDefault="00F158BF">
      <w:r>
        <w:separator/>
      </w:r>
    </w:p>
  </w:endnote>
  <w:endnote w:type="continuationSeparator" w:id="0">
    <w:p w14:paraId="22D16023" w14:textId="77777777" w:rsidR="00F158BF" w:rsidRDefault="00F1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BAD8C" w14:textId="77777777" w:rsidR="00F158BF" w:rsidRDefault="00F158BF">
      <w:r>
        <w:separator/>
      </w:r>
    </w:p>
  </w:footnote>
  <w:footnote w:type="continuationSeparator" w:id="0">
    <w:p w14:paraId="55B12AD1" w14:textId="77777777" w:rsidR="00F158BF" w:rsidRDefault="00F158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832618"/>
      <w:docPartObj>
        <w:docPartGallery w:val="Page Numbers (Top of Page)"/>
        <w:docPartUnique/>
      </w:docPartObj>
    </w:sdtPr>
    <w:sdtEndPr/>
    <w:sdtContent>
      <w:p w14:paraId="62487931" w14:textId="2ED3C772" w:rsidR="00464E27" w:rsidRDefault="00464E27">
        <w:pPr>
          <w:pStyle w:val="Antrats"/>
          <w:jc w:val="center"/>
        </w:pPr>
        <w:r>
          <w:fldChar w:fldCharType="begin"/>
        </w:r>
        <w:r>
          <w:instrText>PAGE   \* MERGEFORMAT</w:instrText>
        </w:r>
        <w:r>
          <w:fldChar w:fldCharType="separate"/>
        </w:r>
        <w:r w:rsidR="00824D1C">
          <w:rPr>
            <w:noProof/>
          </w:rPr>
          <w:t>2</w:t>
        </w:r>
        <w:r>
          <w:fldChar w:fldCharType="end"/>
        </w:r>
      </w:p>
    </w:sdtContent>
  </w:sdt>
  <w:p w14:paraId="115E40B8" w14:textId="77777777" w:rsidR="00464E27" w:rsidRPr="0004629E" w:rsidRDefault="00464E27" w:rsidP="0004629E">
    <w:pPr>
      <w:jc w:val="right"/>
      <w:rPr>
        <w:b/>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E997" w14:textId="77777777" w:rsidR="00464E27" w:rsidRDefault="00464E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27"/>
    <w:rsid w:val="000955F0"/>
    <w:rsid w:val="00351215"/>
    <w:rsid w:val="00381F12"/>
    <w:rsid w:val="00464E27"/>
    <w:rsid w:val="006F3860"/>
    <w:rsid w:val="0071607B"/>
    <w:rsid w:val="00824D1C"/>
    <w:rsid w:val="00951D46"/>
    <w:rsid w:val="00AB1276"/>
    <w:rsid w:val="00C800D0"/>
    <w:rsid w:val="00E11C5E"/>
    <w:rsid w:val="00F158BF"/>
    <w:rsid w:val="00F62BB7"/>
    <w:rsid w:val="00FB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0444"/>
  <w15:chartTrackingRefBased/>
  <w15:docId w15:val="{66BFA295-4050-4F77-AC37-75A5B307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4E2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464E2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464E2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464E2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464E27"/>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464E27"/>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464E27"/>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464E27"/>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464E27"/>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464E27"/>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4E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64E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64E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64E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64E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64E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4E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4E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4E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4E2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464E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4E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464E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4E27"/>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464E27"/>
    <w:rPr>
      <w:i/>
      <w:iCs/>
      <w:color w:val="404040" w:themeColor="text1" w:themeTint="BF"/>
    </w:rPr>
  </w:style>
  <w:style w:type="paragraph" w:styleId="Sraopastraipa">
    <w:name w:val="List Paragraph"/>
    <w:basedOn w:val="prastasis"/>
    <w:uiPriority w:val="34"/>
    <w:qFormat/>
    <w:rsid w:val="00464E27"/>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464E27"/>
    <w:rPr>
      <w:i/>
      <w:iCs/>
      <w:color w:val="2F5496" w:themeColor="accent1" w:themeShade="BF"/>
    </w:rPr>
  </w:style>
  <w:style w:type="paragraph" w:styleId="Iskirtacitata">
    <w:name w:val="Intense Quote"/>
    <w:basedOn w:val="prastasis"/>
    <w:next w:val="prastasis"/>
    <w:link w:val="IskirtacitataDiagrama"/>
    <w:uiPriority w:val="30"/>
    <w:qFormat/>
    <w:rsid w:val="00464E2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464E27"/>
    <w:rPr>
      <w:i/>
      <w:iCs/>
      <w:color w:val="2F5496" w:themeColor="accent1" w:themeShade="BF"/>
    </w:rPr>
  </w:style>
  <w:style w:type="character" w:styleId="Rykinuoroda">
    <w:name w:val="Intense Reference"/>
    <w:basedOn w:val="Numatytasispastraiposriftas"/>
    <w:uiPriority w:val="32"/>
    <w:qFormat/>
    <w:rsid w:val="00464E27"/>
    <w:rPr>
      <w:b/>
      <w:bCs/>
      <w:smallCaps/>
      <w:color w:val="2F5496" w:themeColor="accent1" w:themeShade="BF"/>
      <w:spacing w:val="5"/>
    </w:rPr>
  </w:style>
  <w:style w:type="paragraph" w:styleId="Antrats">
    <w:name w:val="header"/>
    <w:basedOn w:val="prastasis"/>
    <w:link w:val="AntratsDiagrama"/>
    <w:uiPriority w:val="99"/>
    <w:unhideWhenUsed/>
    <w:rsid w:val="00464E27"/>
    <w:pPr>
      <w:tabs>
        <w:tab w:val="center" w:pos="4986"/>
        <w:tab w:val="right" w:pos="9972"/>
      </w:tabs>
    </w:pPr>
  </w:style>
  <w:style w:type="character" w:customStyle="1" w:styleId="AntratsDiagrama">
    <w:name w:val="Antraštės Diagrama"/>
    <w:basedOn w:val="Numatytasispastraiposriftas"/>
    <w:link w:val="Antrats"/>
    <w:uiPriority w:val="99"/>
    <w:rsid w:val="00464E27"/>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2602</Words>
  <Characters>1484</Characters>
  <Application>Microsoft Office Word</Application>
  <DocSecurity>0</DocSecurity>
  <Lines>12</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Viktorija Karčiauskienė</cp:lastModifiedBy>
  <cp:revision>6</cp:revision>
  <dcterms:created xsi:type="dcterms:W3CDTF">2025-06-05T13:01:00Z</dcterms:created>
  <dcterms:modified xsi:type="dcterms:W3CDTF">2025-06-06T05:54:00Z</dcterms:modified>
</cp:coreProperties>
</file>