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6FA94" w14:textId="77777777" w:rsidR="00186D8C" w:rsidRPr="00186D8C" w:rsidRDefault="00186D8C" w:rsidP="00186D8C">
      <w:pPr>
        <w:jc w:val="center"/>
        <w:rPr>
          <w:b/>
          <w:bCs/>
          <w:sz w:val="28"/>
          <w:szCs w:val="28"/>
        </w:rPr>
      </w:pPr>
      <w:r w:rsidRPr="00186D8C">
        <w:rPr>
          <w:b/>
          <w:bCs/>
          <w:sz w:val="28"/>
          <w:szCs w:val="28"/>
        </w:rPr>
        <w:t>KRETINGOS RAJONO SAVIVALDYBĖS TARYBA</w:t>
      </w:r>
    </w:p>
    <w:p w14:paraId="5987EE35" w14:textId="77777777" w:rsidR="00186D8C" w:rsidRPr="00473432" w:rsidRDefault="00186D8C" w:rsidP="00186D8C">
      <w:pPr>
        <w:rPr>
          <w:sz w:val="16"/>
          <w:szCs w:val="16"/>
        </w:rPr>
      </w:pPr>
    </w:p>
    <w:p w14:paraId="4ECA5D6A" w14:textId="77777777" w:rsidR="00186D8C" w:rsidRPr="00186D8C" w:rsidRDefault="00186D8C" w:rsidP="00186D8C">
      <w:pPr>
        <w:jc w:val="center"/>
        <w:rPr>
          <w:b/>
          <w:bCs/>
        </w:rPr>
      </w:pPr>
      <w:r w:rsidRPr="00186D8C">
        <w:rPr>
          <w:b/>
          <w:bCs/>
        </w:rPr>
        <w:t>SPRENDIMAS</w:t>
      </w:r>
    </w:p>
    <w:p w14:paraId="17212A38" w14:textId="39A271B9" w:rsidR="00A06A9D" w:rsidRPr="00186D8C" w:rsidRDefault="00186D8C" w:rsidP="00186D8C">
      <w:pPr>
        <w:jc w:val="center"/>
        <w:rPr>
          <w:b/>
          <w:bCs/>
        </w:rPr>
      </w:pPr>
      <w:r w:rsidRPr="00186D8C">
        <w:rPr>
          <w:b/>
          <w:bCs/>
        </w:rPr>
        <w:t xml:space="preserve">DĖL UAB KRETINGOS ŠILUMOS TINKLŲ </w:t>
      </w:r>
      <w:r w:rsidR="00D51ED2">
        <w:rPr>
          <w:b/>
        </w:rPr>
        <w:t>KOREGUOTO ŠILUMOS GAMYBOS IR (AR) TIEKIMO PAJAMŲ BAZINIO LYGIO NUSTATYMO</w:t>
      </w:r>
    </w:p>
    <w:p w14:paraId="55E7993A" w14:textId="77777777" w:rsidR="00186D8C" w:rsidRPr="00473432" w:rsidRDefault="00186D8C" w:rsidP="00186D8C">
      <w:pPr>
        <w:rPr>
          <w:sz w:val="16"/>
          <w:szCs w:val="16"/>
        </w:rPr>
      </w:pPr>
    </w:p>
    <w:p w14:paraId="6E5D62D9" w14:textId="4D34132A" w:rsidR="00A06A9D" w:rsidRPr="005825A3" w:rsidRDefault="00900C9D" w:rsidP="00A06A9D">
      <w:pPr>
        <w:jc w:val="center"/>
      </w:pPr>
      <w:r>
        <w:t>20</w:t>
      </w:r>
      <w:r w:rsidR="00E00209">
        <w:t>2</w:t>
      </w:r>
      <w:r w:rsidR="00D51ED2">
        <w:t>3</w:t>
      </w:r>
      <w:r w:rsidR="00850F1A">
        <w:t xml:space="preserve"> m. gruodžio 4</w:t>
      </w:r>
      <w:r w:rsidR="00A06A9D" w:rsidRPr="005825A3">
        <w:t xml:space="preserve"> d.  Nr.</w:t>
      </w:r>
      <w:r w:rsidR="00850F1A">
        <w:t>T1-360</w:t>
      </w:r>
      <w:bookmarkStart w:id="0" w:name="_GoBack"/>
      <w:bookmarkEnd w:id="0"/>
    </w:p>
    <w:p w14:paraId="0FA5FF61" w14:textId="77777777" w:rsidR="00A06A9D" w:rsidRDefault="00A06A9D" w:rsidP="00A06A9D">
      <w:pPr>
        <w:jc w:val="center"/>
      </w:pPr>
      <w:r w:rsidRPr="005825A3">
        <w:t>Kretinga</w:t>
      </w:r>
    </w:p>
    <w:p w14:paraId="6E42F4B1" w14:textId="77777777" w:rsidR="00734AE2" w:rsidRPr="00473432" w:rsidRDefault="00734AE2" w:rsidP="00617ABA">
      <w:pPr>
        <w:rPr>
          <w:sz w:val="12"/>
          <w:szCs w:val="12"/>
        </w:rPr>
      </w:pPr>
    </w:p>
    <w:p w14:paraId="19B21CF2" w14:textId="165227EB" w:rsidR="00A06A9D" w:rsidRDefault="00A06A9D" w:rsidP="00404769">
      <w:pPr>
        <w:pStyle w:val="HTMLPreformatted1"/>
        <w:ind w:firstLine="720"/>
        <w:jc w:val="both"/>
        <w:rPr>
          <w:rFonts w:ascii="Times New Roman" w:hAnsi="Times New Roman" w:cs="Times New Roman"/>
          <w:sz w:val="24"/>
          <w:szCs w:val="24"/>
        </w:rPr>
      </w:pPr>
      <w:r w:rsidRPr="0092631F">
        <w:rPr>
          <w:rFonts w:ascii="Times New Roman" w:hAnsi="Times New Roman" w:cs="Times New Roman"/>
          <w:sz w:val="24"/>
          <w:szCs w:val="24"/>
        </w:rPr>
        <w:t xml:space="preserve">Vadovaudamasi </w:t>
      </w:r>
      <w:r w:rsidR="00D6531C" w:rsidRPr="0092631F">
        <w:rPr>
          <w:rFonts w:ascii="Times New Roman" w:hAnsi="Times New Roman" w:cs="Times New Roman"/>
          <w:sz w:val="24"/>
          <w:szCs w:val="24"/>
        </w:rPr>
        <w:t xml:space="preserve">Lietuvos Respublikos </w:t>
      </w:r>
      <w:r w:rsidR="00900C9D" w:rsidRPr="0092631F">
        <w:rPr>
          <w:rFonts w:ascii="Times New Roman" w:hAnsi="Times New Roman" w:cs="Times New Roman"/>
          <w:sz w:val="24"/>
          <w:szCs w:val="24"/>
        </w:rPr>
        <w:t xml:space="preserve">vietos savivaldos įstatymo </w:t>
      </w:r>
      <w:r w:rsidR="00D92834" w:rsidRPr="0092631F">
        <w:rPr>
          <w:rFonts w:ascii="Times New Roman" w:hAnsi="Times New Roman" w:cs="Times New Roman"/>
          <w:sz w:val="24"/>
          <w:szCs w:val="24"/>
        </w:rPr>
        <w:t>1</w:t>
      </w:r>
      <w:r w:rsidR="000C150F">
        <w:rPr>
          <w:rFonts w:ascii="Times New Roman" w:hAnsi="Times New Roman" w:cs="Times New Roman"/>
          <w:sz w:val="24"/>
          <w:szCs w:val="24"/>
        </w:rPr>
        <w:t>5</w:t>
      </w:r>
      <w:r w:rsidR="00D92834" w:rsidRPr="0092631F">
        <w:rPr>
          <w:rFonts w:ascii="Times New Roman" w:hAnsi="Times New Roman" w:cs="Times New Roman"/>
          <w:sz w:val="24"/>
          <w:szCs w:val="24"/>
        </w:rPr>
        <w:t xml:space="preserve"> straipsnio 2 dalies </w:t>
      </w:r>
      <w:r w:rsidR="000C150F">
        <w:rPr>
          <w:rFonts w:ascii="Times New Roman" w:hAnsi="Times New Roman" w:cs="Times New Roman"/>
          <w:sz w:val="24"/>
          <w:szCs w:val="24"/>
        </w:rPr>
        <w:t>29</w:t>
      </w:r>
      <w:r w:rsidR="00D92834" w:rsidRPr="0092631F">
        <w:rPr>
          <w:rFonts w:ascii="Times New Roman" w:hAnsi="Times New Roman" w:cs="Times New Roman"/>
          <w:sz w:val="24"/>
          <w:szCs w:val="24"/>
        </w:rPr>
        <w:t xml:space="preserve"> punktu,</w:t>
      </w:r>
      <w:r w:rsidR="009D0998" w:rsidRPr="0092631F">
        <w:rPr>
          <w:rFonts w:ascii="Times New Roman" w:hAnsi="Times New Roman" w:cs="Times New Roman"/>
          <w:sz w:val="24"/>
          <w:szCs w:val="24"/>
        </w:rPr>
        <w:t xml:space="preserve"> </w:t>
      </w:r>
      <w:r w:rsidR="007736BC" w:rsidRPr="0092631F">
        <w:rPr>
          <w:rFonts w:ascii="Times New Roman" w:hAnsi="Times New Roman" w:cs="Times New Roman"/>
          <w:sz w:val="24"/>
          <w:szCs w:val="24"/>
        </w:rPr>
        <w:t xml:space="preserve">Lietuvos Respublikos šilumos ūkio įstatymo 32 straipsnio </w:t>
      </w:r>
      <w:r w:rsidR="0092631F" w:rsidRPr="0092631F">
        <w:rPr>
          <w:rFonts w:ascii="Times New Roman" w:hAnsi="Times New Roman" w:cs="Times New Roman"/>
          <w:sz w:val="24"/>
          <w:szCs w:val="24"/>
        </w:rPr>
        <w:t>8</w:t>
      </w:r>
      <w:r w:rsidR="001F3628" w:rsidRPr="0092631F">
        <w:rPr>
          <w:rFonts w:ascii="Times New Roman" w:hAnsi="Times New Roman" w:cs="Times New Roman"/>
          <w:sz w:val="24"/>
          <w:szCs w:val="24"/>
        </w:rPr>
        <w:t xml:space="preserve"> dalies 1 punktu</w:t>
      </w:r>
      <w:r w:rsidR="007736BC" w:rsidRPr="0092631F">
        <w:rPr>
          <w:rFonts w:ascii="Times New Roman" w:hAnsi="Times New Roman" w:cs="Times New Roman"/>
          <w:sz w:val="24"/>
          <w:szCs w:val="24"/>
        </w:rPr>
        <w:t xml:space="preserve"> bei Šilumos kainų nustatymo metodikos, patvirtintos Valstybinės kainų ir energetikos kontrolės komisijos 2009</w:t>
      </w:r>
      <w:r w:rsidR="00617ABA">
        <w:rPr>
          <w:rFonts w:ascii="Times New Roman" w:hAnsi="Times New Roman" w:cs="Times New Roman"/>
          <w:sz w:val="24"/>
          <w:szCs w:val="24"/>
        </w:rPr>
        <w:t> </w:t>
      </w:r>
      <w:r w:rsidR="007736BC" w:rsidRPr="0092631F">
        <w:rPr>
          <w:rFonts w:ascii="Times New Roman" w:hAnsi="Times New Roman" w:cs="Times New Roman"/>
          <w:sz w:val="24"/>
          <w:szCs w:val="24"/>
        </w:rPr>
        <w:t xml:space="preserve">m. liepos 8 d. nutarimu Nr. O3-96 </w:t>
      </w:r>
      <w:r w:rsidR="001F3628" w:rsidRPr="0092631F">
        <w:rPr>
          <w:rFonts w:ascii="Times New Roman" w:hAnsi="Times New Roman" w:cs="Times New Roman"/>
          <w:sz w:val="24"/>
          <w:szCs w:val="24"/>
        </w:rPr>
        <w:t>„</w:t>
      </w:r>
      <w:r w:rsidR="007736BC" w:rsidRPr="0092631F">
        <w:rPr>
          <w:rFonts w:ascii="Times New Roman" w:hAnsi="Times New Roman" w:cs="Times New Roman"/>
          <w:sz w:val="24"/>
          <w:szCs w:val="24"/>
        </w:rPr>
        <w:t xml:space="preserve">Dėl </w:t>
      </w:r>
      <w:r w:rsidR="00910263" w:rsidRPr="0092631F">
        <w:rPr>
          <w:rFonts w:ascii="Times New Roman" w:hAnsi="Times New Roman" w:cs="Times New Roman"/>
          <w:sz w:val="24"/>
          <w:szCs w:val="24"/>
        </w:rPr>
        <w:t>Š</w:t>
      </w:r>
      <w:r w:rsidR="007736BC" w:rsidRPr="0092631F">
        <w:rPr>
          <w:rFonts w:ascii="Times New Roman" w:hAnsi="Times New Roman" w:cs="Times New Roman"/>
          <w:sz w:val="24"/>
          <w:szCs w:val="24"/>
        </w:rPr>
        <w:t xml:space="preserve">ilumos kainų nustatymo metodikos“, </w:t>
      </w:r>
      <w:r w:rsidR="000F5F8A" w:rsidRPr="0092631F">
        <w:rPr>
          <w:rFonts w:ascii="Times New Roman" w:hAnsi="Times New Roman" w:cs="Times New Roman"/>
          <w:sz w:val="24"/>
          <w:szCs w:val="24"/>
        </w:rPr>
        <w:t>5</w:t>
      </w:r>
      <w:r w:rsidR="0092631F" w:rsidRPr="0092631F">
        <w:rPr>
          <w:rFonts w:ascii="Times New Roman" w:hAnsi="Times New Roman" w:cs="Times New Roman"/>
          <w:sz w:val="24"/>
          <w:szCs w:val="24"/>
        </w:rPr>
        <w:t>8</w:t>
      </w:r>
      <w:r w:rsidR="007736BC" w:rsidRPr="0092631F">
        <w:rPr>
          <w:rFonts w:ascii="Times New Roman" w:hAnsi="Times New Roman" w:cs="Times New Roman"/>
          <w:sz w:val="24"/>
          <w:szCs w:val="24"/>
        </w:rPr>
        <w:t>.</w:t>
      </w:r>
      <w:r w:rsidR="0092631F" w:rsidRPr="0092631F">
        <w:rPr>
          <w:rFonts w:ascii="Times New Roman" w:hAnsi="Times New Roman" w:cs="Times New Roman"/>
          <w:sz w:val="24"/>
          <w:szCs w:val="24"/>
        </w:rPr>
        <w:t>3</w:t>
      </w:r>
      <w:r w:rsidR="007736BC" w:rsidRPr="0092631F">
        <w:rPr>
          <w:rFonts w:ascii="Times New Roman" w:hAnsi="Times New Roman" w:cs="Times New Roman"/>
          <w:sz w:val="24"/>
          <w:szCs w:val="24"/>
        </w:rPr>
        <w:t xml:space="preserve"> punktu</w:t>
      </w:r>
      <w:r w:rsidR="00B03BF9" w:rsidRPr="0092631F">
        <w:rPr>
          <w:rStyle w:val="Grietas"/>
          <w:rFonts w:ascii="Times New Roman" w:hAnsi="Times New Roman" w:cs="Times New Roman"/>
          <w:b w:val="0"/>
          <w:sz w:val="24"/>
          <w:szCs w:val="24"/>
        </w:rPr>
        <w:t xml:space="preserve"> ir</w:t>
      </w:r>
      <w:r w:rsidR="00D01BEE" w:rsidRPr="0092631F">
        <w:rPr>
          <w:rFonts w:ascii="Times New Roman" w:hAnsi="Times New Roman" w:cs="Times New Roman"/>
          <w:sz w:val="24"/>
          <w:szCs w:val="24"/>
        </w:rPr>
        <w:t xml:space="preserve"> </w:t>
      </w:r>
      <w:r w:rsidR="00CD6237" w:rsidRPr="0092631F">
        <w:rPr>
          <w:rFonts w:ascii="Times New Roman" w:hAnsi="Times New Roman" w:cs="Times New Roman"/>
          <w:sz w:val="24"/>
          <w:szCs w:val="24"/>
        </w:rPr>
        <w:t xml:space="preserve">atsižvelgdama į </w:t>
      </w:r>
      <w:r w:rsidR="00D01BEE" w:rsidRPr="0092631F">
        <w:rPr>
          <w:rFonts w:ascii="Times New Roman" w:hAnsi="Times New Roman" w:cs="Times New Roman"/>
          <w:sz w:val="24"/>
          <w:szCs w:val="24"/>
        </w:rPr>
        <w:t>UAB</w:t>
      </w:r>
      <w:r w:rsidR="002C4EA1" w:rsidRPr="0092631F">
        <w:rPr>
          <w:rFonts w:ascii="Times New Roman" w:hAnsi="Times New Roman" w:cs="Times New Roman"/>
          <w:sz w:val="24"/>
          <w:szCs w:val="24"/>
        </w:rPr>
        <w:t xml:space="preserve"> Kr</w:t>
      </w:r>
      <w:r w:rsidR="006924EC" w:rsidRPr="0092631F">
        <w:rPr>
          <w:rFonts w:ascii="Times New Roman" w:hAnsi="Times New Roman" w:cs="Times New Roman"/>
          <w:sz w:val="24"/>
          <w:szCs w:val="24"/>
        </w:rPr>
        <w:t xml:space="preserve">etingos šilumos tinklų </w:t>
      </w:r>
      <w:r w:rsidR="00E00209" w:rsidRPr="0092631F">
        <w:rPr>
          <w:rFonts w:ascii="Times New Roman" w:hAnsi="Times New Roman" w:cs="Times New Roman"/>
          <w:sz w:val="24"/>
          <w:szCs w:val="24"/>
        </w:rPr>
        <w:t>202</w:t>
      </w:r>
      <w:r w:rsidR="0092631F" w:rsidRPr="0092631F">
        <w:rPr>
          <w:rFonts w:ascii="Times New Roman" w:hAnsi="Times New Roman" w:cs="Times New Roman"/>
          <w:sz w:val="24"/>
          <w:szCs w:val="24"/>
        </w:rPr>
        <w:t>3</w:t>
      </w:r>
      <w:r w:rsidR="00E00209" w:rsidRPr="0092631F">
        <w:rPr>
          <w:rFonts w:ascii="Times New Roman" w:hAnsi="Times New Roman" w:cs="Times New Roman"/>
          <w:sz w:val="24"/>
          <w:szCs w:val="24"/>
        </w:rPr>
        <w:t xml:space="preserve"> m. </w:t>
      </w:r>
      <w:r w:rsidR="0092631F" w:rsidRPr="0092631F">
        <w:rPr>
          <w:rFonts w:ascii="Times New Roman" w:hAnsi="Times New Roman" w:cs="Times New Roman"/>
          <w:sz w:val="24"/>
          <w:szCs w:val="24"/>
        </w:rPr>
        <w:t>lapkričio 2</w:t>
      </w:r>
      <w:r w:rsidR="00E00209" w:rsidRPr="0092631F">
        <w:rPr>
          <w:rFonts w:ascii="Times New Roman" w:hAnsi="Times New Roman" w:cs="Times New Roman"/>
          <w:sz w:val="24"/>
          <w:szCs w:val="24"/>
        </w:rPr>
        <w:t>3 d.</w:t>
      </w:r>
      <w:r w:rsidR="006924EC" w:rsidRPr="0092631F">
        <w:rPr>
          <w:rFonts w:ascii="Times New Roman" w:hAnsi="Times New Roman" w:cs="Times New Roman"/>
          <w:sz w:val="24"/>
          <w:szCs w:val="24"/>
        </w:rPr>
        <w:t xml:space="preserve"> </w:t>
      </w:r>
      <w:r w:rsidR="002C4EA1" w:rsidRPr="0092631F">
        <w:rPr>
          <w:rFonts w:ascii="Times New Roman" w:hAnsi="Times New Roman" w:cs="Times New Roman"/>
          <w:sz w:val="24"/>
          <w:szCs w:val="24"/>
        </w:rPr>
        <w:t>raštą Nr.</w:t>
      </w:r>
      <w:r w:rsidR="00D01BEE" w:rsidRPr="0092631F">
        <w:rPr>
          <w:rFonts w:ascii="Times New Roman" w:hAnsi="Times New Roman" w:cs="Times New Roman"/>
          <w:sz w:val="24"/>
          <w:szCs w:val="24"/>
        </w:rPr>
        <w:t xml:space="preserve"> </w:t>
      </w:r>
      <w:r w:rsidR="006924EC" w:rsidRPr="0092631F">
        <w:rPr>
          <w:rFonts w:ascii="Times New Roman" w:hAnsi="Times New Roman" w:cs="Times New Roman"/>
          <w:sz w:val="24"/>
          <w:szCs w:val="24"/>
        </w:rPr>
        <w:t>R2-</w:t>
      </w:r>
      <w:r w:rsidR="0092631F" w:rsidRPr="0092631F">
        <w:rPr>
          <w:rFonts w:ascii="Times New Roman" w:hAnsi="Times New Roman" w:cs="Times New Roman"/>
          <w:sz w:val="24"/>
          <w:szCs w:val="24"/>
        </w:rPr>
        <w:t>236</w:t>
      </w:r>
      <w:r w:rsidR="006924EC" w:rsidRPr="0092631F">
        <w:rPr>
          <w:rFonts w:ascii="Times New Roman" w:hAnsi="Times New Roman" w:cs="Times New Roman"/>
          <w:sz w:val="24"/>
          <w:szCs w:val="24"/>
        </w:rPr>
        <w:t xml:space="preserve"> </w:t>
      </w:r>
      <w:r w:rsidR="009B1E01" w:rsidRPr="0092631F">
        <w:rPr>
          <w:rFonts w:ascii="Times New Roman" w:hAnsi="Times New Roman" w:cs="Times New Roman"/>
          <w:sz w:val="24"/>
          <w:szCs w:val="24"/>
        </w:rPr>
        <w:t>„</w:t>
      </w:r>
      <w:r w:rsidR="0092631F" w:rsidRPr="0092631F">
        <w:rPr>
          <w:rFonts w:ascii="Times New Roman" w:hAnsi="Times New Roman" w:cs="Times New Roman"/>
          <w:sz w:val="24"/>
          <w:szCs w:val="24"/>
        </w:rPr>
        <w:t xml:space="preserve">Dėl UAB Kretingos šilumos tinklų </w:t>
      </w:r>
      <w:r w:rsidR="0092631F" w:rsidRPr="0092631F">
        <w:rPr>
          <w:rFonts w:ascii="Times New Roman" w:hAnsi="Times New Roman" w:cs="Times New Roman"/>
          <w:bCs/>
          <w:sz w:val="24"/>
          <w:szCs w:val="24"/>
        </w:rPr>
        <w:t>koreguoto šilumos gamybos ir (ar) tiekimo pajamų bazinio lygio nustatymo</w:t>
      </w:r>
      <w:r w:rsidR="002608AE" w:rsidRPr="0092631F">
        <w:rPr>
          <w:rFonts w:ascii="Times New Roman" w:hAnsi="Times New Roman" w:cs="Times New Roman"/>
          <w:sz w:val="24"/>
          <w:szCs w:val="24"/>
        </w:rPr>
        <w:t>“</w:t>
      </w:r>
      <w:r w:rsidR="004156F0" w:rsidRPr="0092631F">
        <w:rPr>
          <w:rFonts w:ascii="Times New Roman" w:hAnsi="Times New Roman" w:cs="Times New Roman"/>
          <w:sz w:val="24"/>
          <w:szCs w:val="24"/>
        </w:rPr>
        <w:t>,</w:t>
      </w:r>
      <w:r w:rsidR="002608AE" w:rsidRPr="0092631F">
        <w:rPr>
          <w:rFonts w:ascii="Times New Roman" w:hAnsi="Times New Roman" w:cs="Times New Roman"/>
          <w:sz w:val="24"/>
          <w:szCs w:val="24"/>
        </w:rPr>
        <w:t xml:space="preserve"> </w:t>
      </w:r>
      <w:r w:rsidRPr="0092631F">
        <w:rPr>
          <w:rFonts w:ascii="Times New Roman" w:hAnsi="Times New Roman" w:cs="Times New Roman"/>
          <w:sz w:val="24"/>
          <w:szCs w:val="24"/>
        </w:rPr>
        <w:t xml:space="preserve">Kretingos rajono savivaldybės taryba </w:t>
      </w:r>
      <w:r w:rsidR="007736BC" w:rsidRPr="0092631F">
        <w:rPr>
          <w:rFonts w:ascii="Times New Roman" w:hAnsi="Times New Roman" w:cs="Times New Roman"/>
          <w:spacing w:val="60"/>
          <w:sz w:val="24"/>
          <w:szCs w:val="24"/>
        </w:rPr>
        <w:t>nusprendžia</w:t>
      </w:r>
      <w:r w:rsidRPr="0092631F">
        <w:rPr>
          <w:rFonts w:ascii="Times New Roman" w:hAnsi="Times New Roman" w:cs="Times New Roman"/>
          <w:sz w:val="24"/>
          <w:szCs w:val="24"/>
        </w:rPr>
        <w:t>:</w:t>
      </w:r>
      <w:r w:rsidRPr="005825A3">
        <w:rPr>
          <w:rFonts w:ascii="Times New Roman" w:hAnsi="Times New Roman" w:cs="Times New Roman"/>
          <w:sz w:val="24"/>
          <w:szCs w:val="24"/>
        </w:rPr>
        <w:t xml:space="preserve"> </w:t>
      </w:r>
    </w:p>
    <w:p w14:paraId="610D2017" w14:textId="36DABC11" w:rsidR="00AC7C2F" w:rsidRDefault="00AC7C2F" w:rsidP="00404769">
      <w:pPr>
        <w:pStyle w:val="Betarp"/>
        <w:ind w:firstLine="720"/>
      </w:pPr>
      <w:r>
        <w:t xml:space="preserve">1. Nustatyti </w:t>
      </w:r>
      <w:r w:rsidR="00D51ED2">
        <w:t>tret</w:t>
      </w:r>
      <w:r>
        <w:t xml:space="preserve">iesiems šilumos bazinės kainos galiojimo metams </w:t>
      </w:r>
      <w:r w:rsidR="00404769">
        <w:t xml:space="preserve">koreguotą šilumos gamybos ir (ar) tiekimo pajamų bazinį lygį </w:t>
      </w:r>
      <w:r w:rsidRPr="00AE5FB6">
        <w:t>(be pridėtinės vertės mokesčio):</w:t>
      </w:r>
    </w:p>
    <w:p w14:paraId="45DBE190" w14:textId="77777777" w:rsidR="00404769" w:rsidRDefault="00404769" w:rsidP="00404769">
      <w:pPr>
        <w:pStyle w:val="Betarp"/>
        <w:ind w:firstLine="720"/>
        <w:rPr>
          <w:rFonts w:eastAsia="Calibri"/>
          <w:szCs w:val="24"/>
          <w:lang w:eastAsia="en-US"/>
        </w:rPr>
      </w:pPr>
      <w:r>
        <w:rPr>
          <w:rFonts w:eastAsia="Calibri"/>
          <w:szCs w:val="24"/>
          <w:lang w:eastAsia="en-US"/>
        </w:rPr>
        <w:t>1.1. šilumos gamybos (įskaitant perkamą šilumą) pajamų bazinio lygio, išreikšto formule 1 454 212 + R</w:t>
      </w:r>
      <w:r w:rsidRPr="004B03ED">
        <w:rPr>
          <w:rFonts w:eastAsia="Calibri"/>
          <w:szCs w:val="24"/>
          <w:vertAlign w:val="subscript"/>
          <w:lang w:eastAsia="en-US"/>
        </w:rPr>
        <w:t>H,KD</w:t>
      </w:r>
      <w:r>
        <w:rPr>
          <w:rFonts w:eastAsia="Calibri"/>
          <w:szCs w:val="24"/>
          <w:lang w:eastAsia="en-US"/>
        </w:rPr>
        <w:t>, dalis:</w:t>
      </w:r>
    </w:p>
    <w:p w14:paraId="1F693199" w14:textId="77777777" w:rsidR="00404769" w:rsidRPr="00297B0E" w:rsidRDefault="00404769" w:rsidP="00404769">
      <w:pPr>
        <w:pStyle w:val="Betarp"/>
        <w:ind w:firstLine="720"/>
        <w:rPr>
          <w:rFonts w:eastAsia="Calibri"/>
          <w:szCs w:val="24"/>
          <w:lang w:eastAsia="en-US"/>
        </w:rPr>
      </w:pPr>
      <w:r>
        <w:rPr>
          <w:rFonts w:eastAsia="Calibri"/>
          <w:szCs w:val="24"/>
          <w:lang w:eastAsia="en-US"/>
        </w:rPr>
        <w:t xml:space="preserve">1.1.1. pastoviąją dalį – 1 454 212 </w:t>
      </w:r>
      <w:proofErr w:type="spellStart"/>
      <w:r>
        <w:rPr>
          <w:rFonts w:eastAsia="Calibri"/>
          <w:szCs w:val="24"/>
          <w:lang w:eastAsia="en-US"/>
        </w:rPr>
        <w:t>Eur</w:t>
      </w:r>
      <w:proofErr w:type="spellEnd"/>
      <w:r>
        <w:rPr>
          <w:rFonts w:eastAsia="Calibri"/>
          <w:szCs w:val="24"/>
          <w:lang w:eastAsia="en-US"/>
        </w:rPr>
        <w:t>;</w:t>
      </w:r>
    </w:p>
    <w:p w14:paraId="21A07DB8" w14:textId="77777777" w:rsidR="00404769" w:rsidRPr="00297B0E" w:rsidRDefault="00404769" w:rsidP="00404769">
      <w:pPr>
        <w:pStyle w:val="Betarp"/>
        <w:ind w:firstLine="720"/>
        <w:rPr>
          <w:rFonts w:eastAsia="Calibri"/>
          <w:szCs w:val="24"/>
          <w:lang w:eastAsia="en-US"/>
        </w:rPr>
      </w:pPr>
      <w:r w:rsidRPr="00297B0E">
        <w:rPr>
          <w:rFonts w:eastAsia="Calibri"/>
          <w:szCs w:val="24"/>
          <w:lang w:eastAsia="en-US"/>
        </w:rPr>
        <w:t>1.1.</w:t>
      </w:r>
      <w:r>
        <w:rPr>
          <w:rFonts w:eastAsia="Calibri"/>
          <w:szCs w:val="24"/>
          <w:lang w:eastAsia="en-US"/>
        </w:rPr>
        <w:t>2</w:t>
      </w:r>
      <w:r w:rsidRPr="00297B0E">
        <w:rPr>
          <w:rFonts w:eastAsia="Calibri"/>
          <w:szCs w:val="24"/>
          <w:lang w:eastAsia="en-US"/>
        </w:rPr>
        <w:t xml:space="preserve">. </w:t>
      </w:r>
      <w:r>
        <w:rPr>
          <w:rFonts w:eastAsia="Calibri"/>
          <w:szCs w:val="24"/>
          <w:lang w:eastAsia="en-US"/>
        </w:rPr>
        <w:t xml:space="preserve">kintamąją dalį </w:t>
      </w:r>
      <w:r w:rsidRPr="00297B0E">
        <w:rPr>
          <w:rFonts w:eastAsia="Calibri"/>
          <w:szCs w:val="24"/>
          <w:lang w:eastAsia="en-US"/>
        </w:rPr>
        <w:t xml:space="preserve">– </w:t>
      </w:r>
      <w:r>
        <w:rPr>
          <w:rFonts w:eastAsia="Calibri"/>
          <w:szCs w:val="24"/>
          <w:lang w:eastAsia="en-US"/>
        </w:rPr>
        <w:t>R</w:t>
      </w:r>
      <w:r w:rsidRPr="004B03ED">
        <w:rPr>
          <w:rFonts w:eastAsia="Calibri"/>
          <w:szCs w:val="24"/>
          <w:vertAlign w:val="subscript"/>
          <w:lang w:eastAsia="en-US"/>
        </w:rPr>
        <w:t>H,KD</w:t>
      </w:r>
      <w:r w:rsidRPr="00297B0E">
        <w:rPr>
          <w:rFonts w:eastAsia="Calibri"/>
          <w:szCs w:val="24"/>
          <w:lang w:eastAsia="en-US"/>
        </w:rPr>
        <w:t>;</w:t>
      </w:r>
    </w:p>
    <w:p w14:paraId="2503CC18" w14:textId="77777777" w:rsidR="00404769" w:rsidRDefault="00404769" w:rsidP="00404769">
      <w:pPr>
        <w:pStyle w:val="Betarp"/>
        <w:ind w:firstLine="720"/>
        <w:rPr>
          <w:rFonts w:eastAsia="Calibri"/>
          <w:szCs w:val="24"/>
          <w:lang w:eastAsia="en-US"/>
        </w:rPr>
      </w:pPr>
      <w:r>
        <w:rPr>
          <w:rFonts w:eastAsia="Calibri"/>
          <w:szCs w:val="24"/>
          <w:lang w:eastAsia="en-US"/>
        </w:rPr>
        <w:t>1.2. šilumos perdavimo pajamų bazinio lygio, išreikšto formule 469 303 + R</w:t>
      </w:r>
      <w:r w:rsidRPr="004B03ED">
        <w:rPr>
          <w:rFonts w:eastAsia="Calibri"/>
          <w:szCs w:val="24"/>
          <w:vertAlign w:val="subscript"/>
          <w:lang w:eastAsia="en-US"/>
        </w:rPr>
        <w:t>H</w:t>
      </w:r>
      <w:r>
        <w:rPr>
          <w:rFonts w:eastAsia="Calibri"/>
          <w:szCs w:val="24"/>
          <w:vertAlign w:val="subscript"/>
          <w:lang w:eastAsia="en-US"/>
        </w:rPr>
        <w:t>T</w:t>
      </w:r>
      <w:r w:rsidRPr="004B03ED">
        <w:rPr>
          <w:rFonts w:eastAsia="Calibri"/>
          <w:szCs w:val="24"/>
          <w:vertAlign w:val="subscript"/>
          <w:lang w:eastAsia="en-US"/>
        </w:rPr>
        <w:t>,KD</w:t>
      </w:r>
      <w:r>
        <w:rPr>
          <w:rFonts w:eastAsia="Calibri"/>
          <w:szCs w:val="24"/>
          <w:lang w:eastAsia="en-US"/>
        </w:rPr>
        <w:t xml:space="preserve"> dalis:</w:t>
      </w:r>
    </w:p>
    <w:p w14:paraId="1DB97CCD" w14:textId="77777777" w:rsidR="00404769" w:rsidRPr="00297B0E" w:rsidRDefault="00404769" w:rsidP="00404769">
      <w:pPr>
        <w:pStyle w:val="Betarp"/>
        <w:ind w:firstLine="720"/>
        <w:rPr>
          <w:rFonts w:eastAsia="Calibri"/>
          <w:szCs w:val="24"/>
          <w:lang w:eastAsia="en-US"/>
        </w:rPr>
      </w:pPr>
      <w:r>
        <w:rPr>
          <w:rFonts w:eastAsia="Calibri"/>
          <w:szCs w:val="24"/>
          <w:lang w:eastAsia="en-US"/>
        </w:rPr>
        <w:t xml:space="preserve">1.2.1. pastoviąją dalį – 469 303 </w:t>
      </w:r>
      <w:proofErr w:type="spellStart"/>
      <w:r>
        <w:rPr>
          <w:rFonts w:eastAsia="Calibri"/>
          <w:szCs w:val="24"/>
          <w:lang w:eastAsia="en-US"/>
        </w:rPr>
        <w:t>Eur</w:t>
      </w:r>
      <w:proofErr w:type="spellEnd"/>
      <w:r>
        <w:rPr>
          <w:rFonts w:eastAsia="Calibri"/>
          <w:szCs w:val="24"/>
          <w:lang w:eastAsia="en-US"/>
        </w:rPr>
        <w:t>;</w:t>
      </w:r>
    </w:p>
    <w:p w14:paraId="6FF59445" w14:textId="5F7A4D8B" w:rsidR="00404769" w:rsidRPr="00297B0E" w:rsidRDefault="00404769" w:rsidP="00404769">
      <w:pPr>
        <w:pStyle w:val="Betarp"/>
        <w:ind w:firstLine="720"/>
        <w:rPr>
          <w:rFonts w:eastAsia="Calibri"/>
          <w:szCs w:val="24"/>
          <w:lang w:eastAsia="en-US"/>
        </w:rPr>
      </w:pPr>
      <w:r w:rsidRPr="00297B0E">
        <w:rPr>
          <w:rFonts w:eastAsia="Calibri"/>
          <w:szCs w:val="24"/>
          <w:lang w:eastAsia="en-US"/>
        </w:rPr>
        <w:t>1.2.</w:t>
      </w:r>
      <w:r>
        <w:rPr>
          <w:rFonts w:eastAsia="Calibri"/>
          <w:szCs w:val="24"/>
          <w:lang w:eastAsia="en-US"/>
        </w:rPr>
        <w:t>2</w:t>
      </w:r>
      <w:r w:rsidRPr="00297B0E">
        <w:rPr>
          <w:rFonts w:eastAsia="Calibri"/>
          <w:szCs w:val="24"/>
          <w:lang w:eastAsia="en-US"/>
        </w:rPr>
        <w:t xml:space="preserve">. </w:t>
      </w:r>
      <w:r>
        <w:rPr>
          <w:rFonts w:eastAsia="Calibri"/>
          <w:szCs w:val="24"/>
          <w:lang w:eastAsia="en-US"/>
        </w:rPr>
        <w:t xml:space="preserve">kintamąją dalį </w:t>
      </w:r>
      <w:r w:rsidR="00617ABA">
        <w:rPr>
          <w:rFonts w:eastAsia="Calibri"/>
          <w:szCs w:val="24"/>
          <w:lang w:eastAsia="en-US"/>
        </w:rPr>
        <w:t>–</w:t>
      </w:r>
      <w:r>
        <w:rPr>
          <w:rFonts w:eastAsia="Calibri"/>
          <w:szCs w:val="24"/>
          <w:lang w:eastAsia="en-US"/>
        </w:rPr>
        <w:t xml:space="preserve"> R</w:t>
      </w:r>
      <w:r w:rsidRPr="004B03ED">
        <w:rPr>
          <w:rFonts w:eastAsia="Calibri"/>
          <w:szCs w:val="24"/>
          <w:vertAlign w:val="subscript"/>
          <w:lang w:eastAsia="en-US"/>
        </w:rPr>
        <w:t>H</w:t>
      </w:r>
      <w:r>
        <w:rPr>
          <w:rFonts w:eastAsia="Calibri"/>
          <w:szCs w:val="24"/>
          <w:vertAlign w:val="subscript"/>
          <w:lang w:eastAsia="en-US"/>
        </w:rPr>
        <w:t>T</w:t>
      </w:r>
      <w:r w:rsidRPr="004B03ED">
        <w:rPr>
          <w:rFonts w:eastAsia="Calibri"/>
          <w:szCs w:val="24"/>
          <w:vertAlign w:val="subscript"/>
          <w:lang w:eastAsia="en-US"/>
        </w:rPr>
        <w:t>,KD</w:t>
      </w:r>
      <w:r w:rsidRPr="00297B0E">
        <w:rPr>
          <w:rFonts w:eastAsia="Calibri"/>
          <w:szCs w:val="24"/>
          <w:lang w:eastAsia="en-US"/>
        </w:rPr>
        <w:t>;</w:t>
      </w:r>
    </w:p>
    <w:p w14:paraId="3B460611" w14:textId="77777777" w:rsidR="00404769" w:rsidRDefault="00404769" w:rsidP="00404769">
      <w:pPr>
        <w:pStyle w:val="Betarp"/>
        <w:ind w:firstLine="720"/>
        <w:rPr>
          <w:szCs w:val="24"/>
        </w:rPr>
      </w:pPr>
      <w:r>
        <w:rPr>
          <w:szCs w:val="24"/>
        </w:rPr>
        <w:t xml:space="preserve">1.3. mažmeninio aptarnavimo pajamų bazinį lygį – 78 478 </w:t>
      </w:r>
      <w:proofErr w:type="spellStart"/>
      <w:r>
        <w:rPr>
          <w:szCs w:val="24"/>
        </w:rPr>
        <w:t>Eur</w:t>
      </w:r>
      <w:proofErr w:type="spellEnd"/>
      <w:r>
        <w:rPr>
          <w:szCs w:val="24"/>
        </w:rPr>
        <w:t>.</w:t>
      </w:r>
    </w:p>
    <w:p w14:paraId="08637C57" w14:textId="77777777" w:rsidR="00404769" w:rsidRDefault="00404769" w:rsidP="00404769">
      <w:pPr>
        <w:pStyle w:val="Betarp"/>
        <w:ind w:firstLine="720"/>
        <w:rPr>
          <w:szCs w:val="24"/>
        </w:rPr>
      </w:pPr>
      <w:r>
        <w:rPr>
          <w:szCs w:val="24"/>
        </w:rPr>
        <w:t xml:space="preserve">2. Nustatyti dedamųjų </w:t>
      </w:r>
      <w:r>
        <w:rPr>
          <w:rFonts w:eastAsia="Calibri"/>
          <w:szCs w:val="24"/>
          <w:lang w:eastAsia="en-US"/>
        </w:rPr>
        <w:t>R</w:t>
      </w:r>
      <w:r w:rsidRPr="004B03ED">
        <w:rPr>
          <w:rFonts w:eastAsia="Calibri"/>
          <w:szCs w:val="24"/>
          <w:vertAlign w:val="subscript"/>
          <w:lang w:eastAsia="en-US"/>
        </w:rPr>
        <w:t>H,KD</w:t>
      </w:r>
      <w:r>
        <w:rPr>
          <w:szCs w:val="24"/>
        </w:rPr>
        <w:t xml:space="preserve">, </w:t>
      </w:r>
      <w:r>
        <w:rPr>
          <w:rFonts w:eastAsia="Calibri"/>
          <w:szCs w:val="24"/>
          <w:lang w:eastAsia="en-US"/>
        </w:rPr>
        <w:t>R</w:t>
      </w:r>
      <w:r w:rsidRPr="004B03ED">
        <w:rPr>
          <w:rFonts w:eastAsia="Calibri"/>
          <w:szCs w:val="24"/>
          <w:vertAlign w:val="subscript"/>
          <w:lang w:eastAsia="en-US"/>
        </w:rPr>
        <w:t>H</w:t>
      </w:r>
      <w:r>
        <w:rPr>
          <w:rFonts w:eastAsia="Calibri"/>
          <w:szCs w:val="24"/>
          <w:vertAlign w:val="subscript"/>
          <w:lang w:eastAsia="en-US"/>
        </w:rPr>
        <w:t>T</w:t>
      </w:r>
      <w:r w:rsidRPr="004B03ED">
        <w:rPr>
          <w:rFonts w:eastAsia="Calibri"/>
          <w:szCs w:val="24"/>
          <w:vertAlign w:val="subscript"/>
          <w:lang w:eastAsia="en-US"/>
        </w:rPr>
        <w:t>,KD</w:t>
      </w:r>
      <w:r>
        <w:rPr>
          <w:rFonts w:eastAsia="Calibri"/>
          <w:szCs w:val="24"/>
          <w:lang w:eastAsia="en-US"/>
        </w:rPr>
        <w:t xml:space="preserve">  ir R</w:t>
      </w:r>
      <w:r>
        <w:rPr>
          <w:szCs w:val="24"/>
          <w:vertAlign w:val="subscript"/>
        </w:rPr>
        <w:t>H</w:t>
      </w:r>
      <w:r>
        <w:rPr>
          <w:szCs w:val="24"/>
        </w:rPr>
        <w:t xml:space="preserve"> T</w:t>
      </w:r>
      <w:r>
        <w:rPr>
          <w:szCs w:val="24"/>
          <w:vertAlign w:val="subscript"/>
        </w:rPr>
        <w:t xml:space="preserve">H </w:t>
      </w:r>
      <w:r>
        <w:rPr>
          <w:szCs w:val="24"/>
        </w:rPr>
        <w:t>formules: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4005"/>
        <w:gridCol w:w="4918"/>
      </w:tblGrid>
      <w:tr w:rsidR="00404769" w14:paraId="3E26C93B" w14:textId="77777777" w:rsidTr="000F1281">
        <w:trPr>
          <w:trHeight w:val="298"/>
          <w:tblHeader/>
        </w:trPr>
        <w:tc>
          <w:tcPr>
            <w:tcW w:w="366" w:type="pct"/>
            <w:tcBorders>
              <w:top w:val="single" w:sz="4" w:space="0" w:color="000000"/>
              <w:left w:val="single" w:sz="4" w:space="0" w:color="000000"/>
              <w:bottom w:val="single" w:sz="4" w:space="0" w:color="000000"/>
              <w:right w:val="single" w:sz="4" w:space="0" w:color="000000"/>
            </w:tcBorders>
            <w:vAlign w:val="center"/>
            <w:hideMark/>
          </w:tcPr>
          <w:p w14:paraId="6BA5D7FD" w14:textId="77777777" w:rsidR="00404769" w:rsidRDefault="00404769" w:rsidP="000F1281">
            <w:pPr>
              <w:pStyle w:val="Betarp"/>
              <w:jc w:val="center"/>
              <w:rPr>
                <w:sz w:val="22"/>
                <w:szCs w:val="22"/>
              </w:rPr>
            </w:pPr>
            <w:r>
              <w:rPr>
                <w:sz w:val="22"/>
                <w:szCs w:val="22"/>
              </w:rPr>
              <w:t>Eil. Nr.</w:t>
            </w:r>
          </w:p>
        </w:tc>
        <w:tc>
          <w:tcPr>
            <w:tcW w:w="2080" w:type="pct"/>
            <w:tcBorders>
              <w:top w:val="single" w:sz="4" w:space="0" w:color="000000"/>
              <w:left w:val="single" w:sz="4" w:space="0" w:color="000000"/>
              <w:bottom w:val="single" w:sz="4" w:space="0" w:color="000000"/>
              <w:right w:val="single" w:sz="4" w:space="0" w:color="000000"/>
            </w:tcBorders>
            <w:vAlign w:val="center"/>
            <w:hideMark/>
          </w:tcPr>
          <w:p w14:paraId="545C0290" w14:textId="77777777" w:rsidR="00404769" w:rsidRDefault="00404769" w:rsidP="000F1281">
            <w:pPr>
              <w:pStyle w:val="Betarp"/>
              <w:jc w:val="center"/>
              <w:rPr>
                <w:sz w:val="22"/>
                <w:szCs w:val="22"/>
              </w:rPr>
            </w:pPr>
            <w:r>
              <w:rPr>
                <w:sz w:val="22"/>
                <w:szCs w:val="22"/>
              </w:rPr>
              <w:t>Dedamoji</w:t>
            </w:r>
          </w:p>
        </w:tc>
        <w:tc>
          <w:tcPr>
            <w:tcW w:w="2554" w:type="pct"/>
            <w:tcBorders>
              <w:top w:val="single" w:sz="4" w:space="0" w:color="000000"/>
              <w:left w:val="single" w:sz="4" w:space="0" w:color="000000"/>
              <w:bottom w:val="single" w:sz="4" w:space="0" w:color="000000"/>
              <w:right w:val="single" w:sz="4" w:space="0" w:color="000000"/>
            </w:tcBorders>
            <w:vAlign w:val="center"/>
            <w:hideMark/>
          </w:tcPr>
          <w:p w14:paraId="68DB3FAD" w14:textId="77777777" w:rsidR="00404769" w:rsidRDefault="00404769" w:rsidP="000F1281">
            <w:pPr>
              <w:pStyle w:val="Betarp"/>
              <w:jc w:val="center"/>
              <w:rPr>
                <w:sz w:val="22"/>
                <w:szCs w:val="22"/>
              </w:rPr>
            </w:pPr>
            <w:r>
              <w:rPr>
                <w:sz w:val="22"/>
                <w:szCs w:val="22"/>
              </w:rPr>
              <w:t>Formulė</w:t>
            </w:r>
          </w:p>
        </w:tc>
      </w:tr>
      <w:tr w:rsidR="00404769" w14:paraId="60B29579" w14:textId="77777777" w:rsidTr="000F1281">
        <w:trPr>
          <w:trHeight w:val="602"/>
        </w:trPr>
        <w:tc>
          <w:tcPr>
            <w:tcW w:w="366" w:type="pct"/>
            <w:tcBorders>
              <w:top w:val="single" w:sz="4" w:space="0" w:color="000000"/>
              <w:left w:val="single" w:sz="4" w:space="0" w:color="000000"/>
              <w:bottom w:val="single" w:sz="4" w:space="0" w:color="000000"/>
              <w:right w:val="single" w:sz="4" w:space="0" w:color="000000"/>
            </w:tcBorders>
            <w:vAlign w:val="center"/>
            <w:hideMark/>
          </w:tcPr>
          <w:p w14:paraId="7102C029" w14:textId="77777777" w:rsidR="00404769" w:rsidRDefault="00404769" w:rsidP="000F1281">
            <w:pPr>
              <w:pStyle w:val="Betarp"/>
              <w:jc w:val="center"/>
              <w:rPr>
                <w:rFonts w:eastAsia="Calibri"/>
                <w:sz w:val="22"/>
                <w:szCs w:val="22"/>
                <w:lang w:eastAsia="en-US"/>
              </w:rPr>
            </w:pPr>
            <w:r>
              <w:rPr>
                <w:rFonts w:eastAsia="Calibri"/>
                <w:sz w:val="22"/>
                <w:szCs w:val="22"/>
                <w:lang w:eastAsia="en-US"/>
              </w:rPr>
              <w:t>1.</w:t>
            </w:r>
          </w:p>
        </w:tc>
        <w:tc>
          <w:tcPr>
            <w:tcW w:w="2080" w:type="pct"/>
            <w:tcBorders>
              <w:top w:val="single" w:sz="4" w:space="0" w:color="000000"/>
              <w:left w:val="single" w:sz="4" w:space="0" w:color="000000"/>
              <w:bottom w:val="single" w:sz="4" w:space="0" w:color="000000"/>
              <w:right w:val="single" w:sz="4" w:space="0" w:color="000000"/>
            </w:tcBorders>
            <w:vAlign w:val="center"/>
            <w:hideMark/>
          </w:tcPr>
          <w:p w14:paraId="1192DC09" w14:textId="77777777" w:rsidR="00404769" w:rsidRDefault="00404769" w:rsidP="000F1281">
            <w:pPr>
              <w:pStyle w:val="Betarp"/>
              <w:jc w:val="left"/>
              <w:rPr>
                <w:sz w:val="22"/>
                <w:szCs w:val="22"/>
              </w:rPr>
            </w:pPr>
            <w:r>
              <w:rPr>
                <w:sz w:val="22"/>
                <w:szCs w:val="22"/>
              </w:rPr>
              <w:t>Šilumos gamybos (įskaitant perkamą šilumą) pajamų bazinio lygio kintamoji dalis</w:t>
            </w:r>
          </w:p>
        </w:tc>
        <w:tc>
          <w:tcPr>
            <w:tcW w:w="2554" w:type="pct"/>
            <w:tcBorders>
              <w:top w:val="single" w:sz="4" w:space="0" w:color="000000"/>
              <w:left w:val="single" w:sz="4" w:space="0" w:color="000000"/>
              <w:bottom w:val="single" w:sz="4" w:space="0" w:color="000000"/>
              <w:right w:val="single" w:sz="4" w:space="0" w:color="000000"/>
            </w:tcBorders>
            <w:vAlign w:val="center"/>
            <w:hideMark/>
          </w:tcPr>
          <w:p w14:paraId="4A0FF18D" w14:textId="77777777" w:rsidR="00404769" w:rsidRDefault="00404769" w:rsidP="000F1281">
            <w:pPr>
              <w:pStyle w:val="Betarp"/>
              <w:jc w:val="center"/>
              <w:rPr>
                <w:sz w:val="22"/>
                <w:szCs w:val="22"/>
              </w:rPr>
            </w:pPr>
            <w:r>
              <w:rPr>
                <w:sz w:val="22"/>
                <w:szCs w:val="22"/>
              </w:rPr>
              <w:t>R</w:t>
            </w:r>
            <w:r>
              <w:rPr>
                <w:sz w:val="22"/>
                <w:szCs w:val="22"/>
                <w:vertAlign w:val="subscript"/>
              </w:rPr>
              <w:t>H,KD</w:t>
            </w:r>
            <w:r>
              <w:rPr>
                <w:sz w:val="22"/>
                <w:szCs w:val="22"/>
              </w:rPr>
              <w:t xml:space="preserve"> = 3 013 </w:t>
            </w:r>
            <w:r w:rsidRPr="00297B0E">
              <w:rPr>
                <w:sz w:val="22"/>
                <w:szCs w:val="22"/>
              </w:rPr>
              <w:t>+ (</w:t>
            </w:r>
            <w:r>
              <w:rPr>
                <w:sz w:val="22"/>
                <w:szCs w:val="22"/>
              </w:rPr>
              <w:t>46 879</w:t>
            </w:r>
            <w:r w:rsidRPr="00313D02">
              <w:rPr>
                <w:sz w:val="22"/>
                <w:szCs w:val="22"/>
              </w:rPr>
              <w:t xml:space="preserve"> × </w:t>
            </w:r>
            <w:proofErr w:type="spellStart"/>
            <w:r w:rsidRPr="00313D02">
              <w:rPr>
                <w:sz w:val="22"/>
                <w:szCs w:val="22"/>
              </w:rPr>
              <w:t>p</w:t>
            </w:r>
            <w:r w:rsidRPr="001040EC">
              <w:rPr>
                <w:sz w:val="22"/>
                <w:szCs w:val="22"/>
                <w:vertAlign w:val="subscript"/>
              </w:rPr>
              <w:t>F</w:t>
            </w:r>
            <w:proofErr w:type="spellEnd"/>
            <w:r>
              <w:rPr>
                <w:sz w:val="22"/>
                <w:szCs w:val="22"/>
                <w:vertAlign w:val="subscript"/>
              </w:rPr>
              <w:t xml:space="preserve"> </w:t>
            </w:r>
            <w:r>
              <w:rPr>
                <w:sz w:val="22"/>
                <w:szCs w:val="22"/>
              </w:rPr>
              <w:t xml:space="preserve">+ 359 261 </w:t>
            </w:r>
            <w:r w:rsidRPr="00297B0E">
              <w:rPr>
                <w:sz w:val="22"/>
                <w:szCs w:val="22"/>
              </w:rPr>
              <w:t xml:space="preserve">× </w:t>
            </w:r>
            <w:proofErr w:type="spellStart"/>
            <w:r>
              <w:rPr>
                <w:sz w:val="22"/>
                <w:szCs w:val="22"/>
              </w:rPr>
              <w:t>p</w:t>
            </w:r>
            <w:r w:rsidRPr="000237E1">
              <w:rPr>
                <w:sz w:val="22"/>
                <w:szCs w:val="22"/>
                <w:vertAlign w:val="subscript"/>
              </w:rPr>
              <w:t>E</w:t>
            </w:r>
            <w:proofErr w:type="spellEnd"/>
            <w:r>
              <w:rPr>
                <w:sz w:val="22"/>
                <w:szCs w:val="22"/>
              </w:rPr>
              <w:t xml:space="preserve"> + 127 x</w:t>
            </w:r>
            <w:r w:rsidRPr="00313D02">
              <w:rPr>
                <w:sz w:val="22"/>
                <w:szCs w:val="22"/>
              </w:rPr>
              <w:t xml:space="preserve"> </w:t>
            </w:r>
            <w:proofErr w:type="spellStart"/>
            <w:r w:rsidRPr="00313D02">
              <w:rPr>
                <w:sz w:val="22"/>
                <w:szCs w:val="22"/>
              </w:rPr>
              <w:t>p</w:t>
            </w:r>
            <w:r w:rsidRPr="00656A63">
              <w:rPr>
                <w:sz w:val="22"/>
                <w:szCs w:val="22"/>
                <w:vertAlign w:val="subscript"/>
              </w:rPr>
              <w:t>W</w:t>
            </w:r>
            <w:proofErr w:type="spellEnd"/>
            <w:r>
              <w:rPr>
                <w:sz w:val="22"/>
                <w:szCs w:val="22"/>
              </w:rPr>
              <w:t xml:space="preserve"> )</w:t>
            </w:r>
            <w:r w:rsidRPr="00297B0E">
              <w:rPr>
                <w:sz w:val="22"/>
                <w:szCs w:val="22"/>
              </w:rPr>
              <w:t xml:space="preserve"> / 42 280</w:t>
            </w:r>
            <w:r>
              <w:rPr>
                <w:sz w:val="22"/>
                <w:szCs w:val="22"/>
              </w:rPr>
              <w:t> </w:t>
            </w:r>
            <w:r w:rsidRPr="00297B0E">
              <w:rPr>
                <w:sz w:val="22"/>
                <w:szCs w:val="22"/>
              </w:rPr>
              <w:t>949</w:t>
            </w:r>
            <w:r>
              <w:rPr>
                <w:sz w:val="22"/>
                <w:szCs w:val="22"/>
              </w:rPr>
              <w:t xml:space="preserve"> x Q</w:t>
            </w:r>
            <w:r w:rsidRPr="00656A63">
              <w:rPr>
                <w:sz w:val="22"/>
                <w:szCs w:val="22"/>
                <w:vertAlign w:val="subscript"/>
              </w:rPr>
              <w:t>H</w:t>
            </w:r>
          </w:p>
        </w:tc>
      </w:tr>
      <w:tr w:rsidR="00404769" w14:paraId="134A6AE3" w14:textId="77777777" w:rsidTr="000F1281">
        <w:trPr>
          <w:trHeight w:val="554"/>
        </w:trPr>
        <w:tc>
          <w:tcPr>
            <w:tcW w:w="366" w:type="pct"/>
            <w:tcBorders>
              <w:top w:val="single" w:sz="4" w:space="0" w:color="000000"/>
              <w:left w:val="single" w:sz="4" w:space="0" w:color="000000"/>
              <w:bottom w:val="single" w:sz="4" w:space="0" w:color="000000"/>
              <w:right w:val="single" w:sz="4" w:space="0" w:color="000000"/>
            </w:tcBorders>
            <w:vAlign w:val="center"/>
            <w:hideMark/>
          </w:tcPr>
          <w:p w14:paraId="3E1D2856" w14:textId="77777777" w:rsidR="00404769" w:rsidRDefault="00404769" w:rsidP="000F1281">
            <w:pPr>
              <w:pStyle w:val="Betarp"/>
              <w:jc w:val="center"/>
              <w:rPr>
                <w:rFonts w:eastAsia="Calibri"/>
                <w:sz w:val="22"/>
                <w:szCs w:val="22"/>
                <w:lang w:eastAsia="en-US"/>
              </w:rPr>
            </w:pPr>
            <w:r>
              <w:rPr>
                <w:rFonts w:eastAsia="Calibri"/>
                <w:sz w:val="22"/>
                <w:szCs w:val="22"/>
                <w:lang w:eastAsia="en-US"/>
              </w:rPr>
              <w:t>2.</w:t>
            </w:r>
          </w:p>
        </w:tc>
        <w:tc>
          <w:tcPr>
            <w:tcW w:w="2080" w:type="pct"/>
            <w:tcBorders>
              <w:top w:val="single" w:sz="4" w:space="0" w:color="000000"/>
              <w:left w:val="single" w:sz="4" w:space="0" w:color="000000"/>
              <w:bottom w:val="single" w:sz="4" w:space="0" w:color="000000"/>
              <w:right w:val="single" w:sz="4" w:space="0" w:color="000000"/>
            </w:tcBorders>
            <w:vAlign w:val="center"/>
            <w:hideMark/>
          </w:tcPr>
          <w:p w14:paraId="7FA13BDD" w14:textId="77777777" w:rsidR="00404769" w:rsidRDefault="00404769" w:rsidP="000F1281">
            <w:pPr>
              <w:pStyle w:val="Betarp"/>
              <w:jc w:val="left"/>
              <w:rPr>
                <w:sz w:val="22"/>
                <w:szCs w:val="22"/>
              </w:rPr>
            </w:pPr>
            <w:r>
              <w:rPr>
                <w:sz w:val="22"/>
                <w:szCs w:val="22"/>
              </w:rPr>
              <w:t>Šilumos perdavimo pajamų bazinio lygio kintamoji dalis</w:t>
            </w:r>
          </w:p>
        </w:tc>
        <w:tc>
          <w:tcPr>
            <w:tcW w:w="2554" w:type="pct"/>
            <w:tcBorders>
              <w:top w:val="single" w:sz="4" w:space="0" w:color="000000"/>
              <w:left w:val="single" w:sz="4" w:space="0" w:color="000000"/>
              <w:bottom w:val="single" w:sz="4" w:space="0" w:color="000000"/>
              <w:right w:val="single" w:sz="4" w:space="0" w:color="000000"/>
            </w:tcBorders>
            <w:vAlign w:val="center"/>
            <w:hideMark/>
          </w:tcPr>
          <w:p w14:paraId="67827835" w14:textId="77777777" w:rsidR="00404769" w:rsidRDefault="00404769" w:rsidP="000F1281">
            <w:pPr>
              <w:pStyle w:val="Betarp"/>
              <w:jc w:val="center"/>
              <w:rPr>
                <w:sz w:val="22"/>
                <w:szCs w:val="22"/>
              </w:rPr>
            </w:pPr>
            <w:r>
              <w:rPr>
                <w:sz w:val="22"/>
                <w:szCs w:val="22"/>
              </w:rPr>
              <w:t>R</w:t>
            </w:r>
            <w:r>
              <w:rPr>
                <w:sz w:val="22"/>
                <w:szCs w:val="22"/>
                <w:vertAlign w:val="subscript"/>
              </w:rPr>
              <w:t>HT,KD</w:t>
            </w:r>
            <w:r>
              <w:rPr>
                <w:sz w:val="22"/>
                <w:szCs w:val="22"/>
              </w:rPr>
              <w:t xml:space="preserve"> = (308 482 </w:t>
            </w:r>
            <w:r w:rsidRPr="00297B0E">
              <w:rPr>
                <w:sz w:val="22"/>
                <w:szCs w:val="22"/>
              </w:rPr>
              <w:t xml:space="preserve">× </w:t>
            </w:r>
            <w:proofErr w:type="spellStart"/>
            <w:r>
              <w:rPr>
                <w:sz w:val="22"/>
                <w:szCs w:val="22"/>
              </w:rPr>
              <w:t>p</w:t>
            </w:r>
            <w:r w:rsidRPr="000237E1">
              <w:rPr>
                <w:sz w:val="22"/>
                <w:szCs w:val="22"/>
                <w:vertAlign w:val="subscript"/>
              </w:rPr>
              <w:t>E</w:t>
            </w:r>
            <w:proofErr w:type="spellEnd"/>
            <w:r>
              <w:rPr>
                <w:sz w:val="22"/>
                <w:szCs w:val="22"/>
              </w:rPr>
              <w:t xml:space="preserve"> + 740 x</w:t>
            </w:r>
            <w:r w:rsidRPr="00313D02">
              <w:rPr>
                <w:sz w:val="22"/>
                <w:szCs w:val="22"/>
              </w:rPr>
              <w:t xml:space="preserve"> </w:t>
            </w:r>
            <w:proofErr w:type="spellStart"/>
            <w:r w:rsidRPr="00313D02">
              <w:rPr>
                <w:sz w:val="22"/>
                <w:szCs w:val="22"/>
              </w:rPr>
              <w:t>p</w:t>
            </w:r>
            <w:r w:rsidRPr="00656A63">
              <w:rPr>
                <w:sz w:val="22"/>
                <w:szCs w:val="22"/>
                <w:vertAlign w:val="subscript"/>
              </w:rPr>
              <w:t>W</w:t>
            </w:r>
            <w:proofErr w:type="spellEnd"/>
            <w:r>
              <w:rPr>
                <w:sz w:val="22"/>
                <w:szCs w:val="22"/>
                <w:vertAlign w:val="subscript"/>
              </w:rPr>
              <w:t xml:space="preserve">  </w:t>
            </w:r>
            <w:r w:rsidRPr="007501ED">
              <w:rPr>
                <w:sz w:val="22"/>
                <w:szCs w:val="22"/>
              </w:rPr>
              <w:t>+</w:t>
            </w:r>
            <w:r>
              <w:rPr>
                <w:sz w:val="22"/>
                <w:szCs w:val="22"/>
                <w:vertAlign w:val="subscript"/>
              </w:rPr>
              <w:t xml:space="preserve"> </w:t>
            </w:r>
            <w:r>
              <w:rPr>
                <w:sz w:val="22"/>
                <w:szCs w:val="22"/>
              </w:rPr>
              <w:t>7 135 340 x R</w:t>
            </w:r>
            <w:r>
              <w:rPr>
                <w:sz w:val="22"/>
                <w:szCs w:val="22"/>
                <w:vertAlign w:val="subscript"/>
              </w:rPr>
              <w:t xml:space="preserve"> </w:t>
            </w:r>
            <w:r>
              <w:rPr>
                <w:rFonts w:eastAsia="Calibri"/>
                <w:sz w:val="22"/>
                <w:szCs w:val="22"/>
                <w:vertAlign w:val="subscript"/>
                <w:lang w:eastAsia="en-US"/>
              </w:rPr>
              <w:t>H</w:t>
            </w:r>
            <w:r w:rsidRPr="00297B0E">
              <w:rPr>
                <w:sz w:val="22"/>
                <w:szCs w:val="22"/>
              </w:rPr>
              <w:t xml:space="preserve"> / </w:t>
            </w:r>
            <w:r>
              <w:rPr>
                <w:sz w:val="22"/>
                <w:szCs w:val="22"/>
              </w:rPr>
              <w:t>42 280 949) /</w:t>
            </w:r>
            <w:r w:rsidRPr="00297B0E">
              <w:rPr>
                <w:sz w:val="22"/>
                <w:szCs w:val="22"/>
              </w:rPr>
              <w:t>35 145</w:t>
            </w:r>
            <w:r>
              <w:rPr>
                <w:sz w:val="22"/>
                <w:szCs w:val="22"/>
              </w:rPr>
              <w:t> </w:t>
            </w:r>
            <w:r w:rsidRPr="00297B0E">
              <w:rPr>
                <w:sz w:val="22"/>
                <w:szCs w:val="22"/>
              </w:rPr>
              <w:t>609</w:t>
            </w:r>
            <w:r>
              <w:rPr>
                <w:sz w:val="22"/>
                <w:szCs w:val="22"/>
              </w:rPr>
              <w:t xml:space="preserve"> x Q</w:t>
            </w:r>
            <w:r w:rsidRPr="00022603">
              <w:rPr>
                <w:sz w:val="22"/>
                <w:szCs w:val="22"/>
                <w:vertAlign w:val="subscript"/>
              </w:rPr>
              <w:t>HR</w:t>
            </w:r>
          </w:p>
        </w:tc>
      </w:tr>
      <w:tr w:rsidR="00404769" w14:paraId="2E455BAB" w14:textId="77777777" w:rsidTr="000F1281">
        <w:trPr>
          <w:trHeight w:val="420"/>
        </w:trPr>
        <w:tc>
          <w:tcPr>
            <w:tcW w:w="366" w:type="pct"/>
            <w:tcBorders>
              <w:top w:val="single" w:sz="4" w:space="0" w:color="000000"/>
              <w:left w:val="single" w:sz="4" w:space="0" w:color="000000"/>
              <w:bottom w:val="single" w:sz="4" w:space="0" w:color="000000"/>
              <w:right w:val="single" w:sz="4" w:space="0" w:color="000000"/>
            </w:tcBorders>
            <w:vAlign w:val="center"/>
            <w:hideMark/>
          </w:tcPr>
          <w:p w14:paraId="28F353F1" w14:textId="77777777" w:rsidR="00404769" w:rsidRDefault="00404769" w:rsidP="000F1281">
            <w:pPr>
              <w:pStyle w:val="Betarp"/>
              <w:jc w:val="center"/>
              <w:rPr>
                <w:rFonts w:eastAsia="Calibri"/>
                <w:sz w:val="22"/>
                <w:szCs w:val="22"/>
                <w:lang w:eastAsia="en-US"/>
              </w:rPr>
            </w:pPr>
            <w:r>
              <w:rPr>
                <w:rFonts w:eastAsia="Calibri"/>
                <w:sz w:val="22"/>
                <w:szCs w:val="22"/>
                <w:lang w:eastAsia="en-US"/>
              </w:rPr>
              <w:t>3.</w:t>
            </w:r>
          </w:p>
        </w:tc>
        <w:tc>
          <w:tcPr>
            <w:tcW w:w="2080" w:type="pct"/>
            <w:tcBorders>
              <w:top w:val="single" w:sz="4" w:space="0" w:color="000000"/>
              <w:left w:val="single" w:sz="4" w:space="0" w:color="000000"/>
              <w:bottom w:val="single" w:sz="4" w:space="0" w:color="000000"/>
              <w:right w:val="single" w:sz="4" w:space="0" w:color="000000"/>
            </w:tcBorders>
            <w:vAlign w:val="center"/>
            <w:hideMark/>
          </w:tcPr>
          <w:p w14:paraId="19E81759" w14:textId="77777777" w:rsidR="00404769" w:rsidRDefault="00404769" w:rsidP="000F1281">
            <w:pPr>
              <w:pStyle w:val="Betarp"/>
              <w:jc w:val="left"/>
              <w:rPr>
                <w:sz w:val="22"/>
                <w:szCs w:val="22"/>
              </w:rPr>
            </w:pPr>
            <w:r>
              <w:rPr>
                <w:sz w:val="22"/>
                <w:szCs w:val="22"/>
              </w:rPr>
              <w:t>Šilumos gamybos (įskaitant perkamą šilumą) pajamų bazinis lygis</w:t>
            </w:r>
          </w:p>
        </w:tc>
        <w:tc>
          <w:tcPr>
            <w:tcW w:w="2554" w:type="pct"/>
            <w:tcBorders>
              <w:top w:val="single" w:sz="4" w:space="0" w:color="000000"/>
              <w:left w:val="single" w:sz="4" w:space="0" w:color="000000"/>
              <w:bottom w:val="single" w:sz="4" w:space="0" w:color="000000"/>
              <w:right w:val="single" w:sz="4" w:space="0" w:color="000000"/>
            </w:tcBorders>
            <w:vAlign w:val="center"/>
            <w:hideMark/>
          </w:tcPr>
          <w:p w14:paraId="77D48027" w14:textId="77777777" w:rsidR="00404769" w:rsidRDefault="00404769" w:rsidP="000F1281">
            <w:pPr>
              <w:pStyle w:val="Betarp"/>
              <w:jc w:val="center"/>
              <w:rPr>
                <w:sz w:val="22"/>
                <w:szCs w:val="22"/>
              </w:rPr>
            </w:pPr>
            <w:r w:rsidRPr="00022603">
              <w:rPr>
                <w:sz w:val="22"/>
                <w:szCs w:val="22"/>
              </w:rPr>
              <w:t>R</w:t>
            </w:r>
            <w:r>
              <w:rPr>
                <w:sz w:val="22"/>
                <w:szCs w:val="22"/>
                <w:vertAlign w:val="subscript"/>
              </w:rPr>
              <w:t>H</w:t>
            </w:r>
            <w:r>
              <w:rPr>
                <w:sz w:val="22"/>
                <w:szCs w:val="22"/>
              </w:rPr>
              <w:t xml:space="preserve"> = 1 454 212 + R</w:t>
            </w:r>
            <w:r>
              <w:rPr>
                <w:sz w:val="22"/>
                <w:szCs w:val="22"/>
                <w:vertAlign w:val="subscript"/>
              </w:rPr>
              <w:t>H,KD</w:t>
            </w:r>
          </w:p>
        </w:tc>
      </w:tr>
    </w:tbl>
    <w:p w14:paraId="35DA8092" w14:textId="77777777" w:rsidR="00404769" w:rsidRDefault="00404769" w:rsidP="00404769">
      <w:pPr>
        <w:pStyle w:val="Betarp"/>
        <w:rPr>
          <w:rFonts w:eastAsia="Calibri"/>
          <w:i/>
          <w:sz w:val="20"/>
          <w:szCs w:val="24"/>
          <w:lang w:eastAsia="en-US"/>
        </w:rPr>
      </w:pPr>
      <w:r>
        <w:rPr>
          <w:rFonts w:eastAsia="Calibri"/>
          <w:i/>
          <w:sz w:val="20"/>
          <w:szCs w:val="24"/>
          <w:lang w:eastAsia="en-US"/>
        </w:rPr>
        <w:t>čia:</w:t>
      </w:r>
    </w:p>
    <w:p w14:paraId="1A832587" w14:textId="77777777" w:rsidR="00404769" w:rsidRDefault="00404769" w:rsidP="00404769">
      <w:pPr>
        <w:tabs>
          <w:tab w:val="left" w:pos="1134"/>
        </w:tabs>
        <w:rPr>
          <w:rFonts w:eastAsia="Calibri"/>
          <w:sz w:val="20"/>
        </w:rPr>
      </w:pPr>
      <w:proofErr w:type="spellStart"/>
      <w:r w:rsidRPr="00313D02">
        <w:rPr>
          <w:rFonts w:eastAsia="Calibri"/>
          <w:sz w:val="20"/>
        </w:rPr>
        <w:t>p</w:t>
      </w:r>
      <w:r w:rsidRPr="000875CB">
        <w:rPr>
          <w:rFonts w:eastAsia="Calibri"/>
          <w:sz w:val="20"/>
          <w:vertAlign w:val="subscript"/>
        </w:rPr>
        <w:t>F</w:t>
      </w:r>
      <w:proofErr w:type="spellEnd"/>
      <w:r w:rsidRPr="00313D02">
        <w:rPr>
          <w:rFonts w:eastAsia="Calibri"/>
          <w:sz w:val="20"/>
        </w:rPr>
        <w:t xml:space="preserve"> – </w:t>
      </w:r>
      <w:r w:rsidRPr="0030739E">
        <w:rPr>
          <w:rFonts w:eastAsia="Calibri"/>
          <w:sz w:val="20"/>
        </w:rPr>
        <w:t xml:space="preserve">vidutinė svertinė kuro kaina, apskaičiuota pagal kuro žemutinę šiluminę vertę, </w:t>
      </w:r>
      <w:proofErr w:type="spellStart"/>
      <w:r w:rsidRPr="0030739E">
        <w:rPr>
          <w:rFonts w:eastAsia="Calibri"/>
          <w:sz w:val="20"/>
        </w:rPr>
        <w:t>Eur</w:t>
      </w:r>
      <w:proofErr w:type="spellEnd"/>
      <w:r w:rsidRPr="0030739E">
        <w:rPr>
          <w:rFonts w:eastAsia="Calibri"/>
          <w:sz w:val="20"/>
        </w:rPr>
        <w:t>/</w:t>
      </w:r>
      <w:proofErr w:type="spellStart"/>
      <w:r w:rsidRPr="0030739E">
        <w:rPr>
          <w:rFonts w:eastAsia="Calibri"/>
          <w:sz w:val="20"/>
        </w:rPr>
        <w:t>MWh</w:t>
      </w:r>
      <w:proofErr w:type="spellEnd"/>
      <w:r>
        <w:rPr>
          <w:rFonts w:eastAsia="Calibri"/>
          <w:sz w:val="20"/>
        </w:rPr>
        <w:t>;</w:t>
      </w:r>
    </w:p>
    <w:p w14:paraId="34436045" w14:textId="77777777" w:rsidR="00404769" w:rsidRPr="00B76A53" w:rsidRDefault="00404769" w:rsidP="00404769">
      <w:pPr>
        <w:tabs>
          <w:tab w:val="left" w:pos="1134"/>
        </w:tabs>
        <w:rPr>
          <w:rFonts w:eastAsia="Calibri"/>
          <w:sz w:val="20"/>
        </w:rPr>
      </w:pPr>
      <w:proofErr w:type="spellStart"/>
      <w:r>
        <w:rPr>
          <w:rFonts w:eastAsia="Calibri"/>
          <w:sz w:val="20"/>
        </w:rPr>
        <w:t>p</w:t>
      </w:r>
      <w:r w:rsidRPr="003F45BD">
        <w:rPr>
          <w:rFonts w:eastAsia="Calibri"/>
          <w:sz w:val="20"/>
          <w:vertAlign w:val="subscript"/>
        </w:rPr>
        <w:t>E</w:t>
      </w:r>
      <w:proofErr w:type="spellEnd"/>
      <w:r>
        <w:rPr>
          <w:rFonts w:eastAsia="Calibri"/>
          <w:sz w:val="20"/>
        </w:rPr>
        <w:t xml:space="preserve"> </w:t>
      </w:r>
      <w:r w:rsidRPr="00B76A53">
        <w:rPr>
          <w:rFonts w:eastAsia="Calibri"/>
          <w:sz w:val="20"/>
        </w:rPr>
        <w:t xml:space="preserve">– elektros energijos kaina, </w:t>
      </w:r>
      <w:proofErr w:type="spellStart"/>
      <w:r w:rsidRPr="00B76A53">
        <w:rPr>
          <w:rFonts w:eastAsia="Calibri"/>
          <w:sz w:val="20"/>
        </w:rPr>
        <w:t>Eur</w:t>
      </w:r>
      <w:proofErr w:type="spellEnd"/>
      <w:r w:rsidRPr="00B76A53">
        <w:rPr>
          <w:rFonts w:eastAsia="Calibri"/>
          <w:sz w:val="20"/>
        </w:rPr>
        <w:t>/kWh;</w:t>
      </w:r>
    </w:p>
    <w:p w14:paraId="17D101B3" w14:textId="77777777" w:rsidR="00404769" w:rsidRPr="00B76A53" w:rsidRDefault="00404769" w:rsidP="00404769">
      <w:pPr>
        <w:tabs>
          <w:tab w:val="left" w:pos="1134"/>
        </w:tabs>
        <w:rPr>
          <w:rFonts w:eastAsia="Calibri"/>
          <w:sz w:val="20"/>
        </w:rPr>
      </w:pPr>
      <w:proofErr w:type="spellStart"/>
      <w:r w:rsidRPr="00B76A53">
        <w:rPr>
          <w:rFonts w:eastAsia="Calibri"/>
          <w:sz w:val="20"/>
        </w:rPr>
        <w:t>p</w:t>
      </w:r>
      <w:r w:rsidRPr="00B76A53">
        <w:rPr>
          <w:rFonts w:eastAsia="Calibri"/>
          <w:sz w:val="20"/>
          <w:vertAlign w:val="subscript"/>
        </w:rPr>
        <w:t>W</w:t>
      </w:r>
      <w:proofErr w:type="spellEnd"/>
      <w:r w:rsidRPr="00B76A53">
        <w:rPr>
          <w:rFonts w:eastAsia="Calibri"/>
          <w:sz w:val="20"/>
        </w:rPr>
        <w:t xml:space="preserve"> – vandens kaina, </w:t>
      </w:r>
      <w:proofErr w:type="spellStart"/>
      <w:r w:rsidRPr="00B76A53">
        <w:rPr>
          <w:rFonts w:eastAsia="Calibri"/>
          <w:sz w:val="20"/>
        </w:rPr>
        <w:t>Eur</w:t>
      </w:r>
      <w:proofErr w:type="spellEnd"/>
      <w:r w:rsidRPr="00B76A53">
        <w:rPr>
          <w:rFonts w:eastAsia="Calibri"/>
          <w:sz w:val="20"/>
        </w:rPr>
        <w:t>/m</w:t>
      </w:r>
      <w:r w:rsidRPr="00B76A53">
        <w:rPr>
          <w:rFonts w:eastAsia="Calibri"/>
          <w:sz w:val="20"/>
          <w:vertAlign w:val="superscript"/>
        </w:rPr>
        <w:t>3</w:t>
      </w:r>
      <w:r w:rsidRPr="00B76A53">
        <w:rPr>
          <w:rFonts w:eastAsia="Calibri"/>
          <w:sz w:val="20"/>
        </w:rPr>
        <w:t>;</w:t>
      </w:r>
    </w:p>
    <w:p w14:paraId="483AE035" w14:textId="77777777" w:rsidR="00404769" w:rsidRPr="00B76A53" w:rsidRDefault="00404769" w:rsidP="00404769">
      <w:pPr>
        <w:tabs>
          <w:tab w:val="left" w:pos="1134"/>
        </w:tabs>
        <w:rPr>
          <w:rFonts w:eastAsia="Calibri"/>
          <w:sz w:val="20"/>
        </w:rPr>
      </w:pPr>
      <w:r w:rsidRPr="00B76A53">
        <w:rPr>
          <w:rFonts w:eastAsia="Calibri"/>
          <w:sz w:val="20"/>
        </w:rPr>
        <w:t>Q</w:t>
      </w:r>
      <w:r w:rsidRPr="00B76A53">
        <w:rPr>
          <w:rFonts w:eastAsia="Calibri"/>
          <w:sz w:val="20"/>
          <w:vertAlign w:val="subscript"/>
        </w:rPr>
        <w:t>H</w:t>
      </w:r>
      <w:r w:rsidRPr="00B76A53">
        <w:rPr>
          <w:rFonts w:eastAsia="Calibri"/>
          <w:sz w:val="20"/>
        </w:rPr>
        <w:t xml:space="preserve"> – savuose šaltiniuose pagamintos ir į tinkle patiektos šilumos kiekis, kWh;</w:t>
      </w:r>
    </w:p>
    <w:p w14:paraId="15B8233A" w14:textId="77777777" w:rsidR="00404769" w:rsidRPr="00B76A53" w:rsidRDefault="00404769" w:rsidP="00473432">
      <w:pPr>
        <w:tabs>
          <w:tab w:val="left" w:pos="1134"/>
        </w:tabs>
        <w:rPr>
          <w:rFonts w:eastAsia="Calibri"/>
          <w:sz w:val="20"/>
        </w:rPr>
      </w:pPr>
      <w:r w:rsidRPr="00B76A53">
        <w:rPr>
          <w:rFonts w:eastAsia="Calibri"/>
          <w:sz w:val="20"/>
        </w:rPr>
        <w:t>Q</w:t>
      </w:r>
      <w:r w:rsidRPr="00B76A53">
        <w:rPr>
          <w:rFonts w:eastAsia="Calibri"/>
          <w:sz w:val="20"/>
          <w:vertAlign w:val="subscript"/>
        </w:rPr>
        <w:t>HR</w:t>
      </w:r>
      <w:r w:rsidRPr="00B76A53">
        <w:rPr>
          <w:rFonts w:eastAsia="Calibri"/>
          <w:sz w:val="20"/>
        </w:rPr>
        <w:t xml:space="preserve"> – realizuotos šilumos kiekis, kWh.</w:t>
      </w:r>
    </w:p>
    <w:p w14:paraId="0231C2C2" w14:textId="3239A390" w:rsidR="00473432" w:rsidRDefault="00AC7C2F" w:rsidP="00473432">
      <w:pPr>
        <w:pStyle w:val="Betarp"/>
        <w:ind w:firstLine="720"/>
        <w:rPr>
          <w:iCs/>
          <w:szCs w:val="24"/>
        </w:rPr>
      </w:pPr>
      <w:r w:rsidRPr="00432657">
        <w:rPr>
          <w:iCs/>
          <w:szCs w:val="24"/>
        </w:rPr>
        <w:t xml:space="preserve">3. </w:t>
      </w:r>
      <w:r w:rsidR="00134A65" w:rsidRPr="00134A65">
        <w:rPr>
          <w:rStyle w:val="cf01"/>
          <w:rFonts w:ascii="Times New Roman" w:hAnsi="Times New Roman" w:cs="Times New Roman"/>
          <w:sz w:val="24"/>
          <w:szCs w:val="24"/>
        </w:rPr>
        <w:t xml:space="preserve">Paskirstyti 12 mėnesių laikotarpiui </w:t>
      </w:r>
      <w:r w:rsidR="00473432" w:rsidRPr="00B76A53">
        <w:rPr>
          <w:iCs/>
          <w:szCs w:val="24"/>
        </w:rPr>
        <w:t>dėl šilumos kainoje įskaitytų ir faktiškai</w:t>
      </w:r>
      <w:r w:rsidR="00473432">
        <w:rPr>
          <w:iCs/>
          <w:szCs w:val="24"/>
        </w:rPr>
        <w:t xml:space="preserve"> patirtų sąnaudų kurui įsigyti neatitikties 2022 m. sausio 1 d. – 2022 m. gruodžio 31 d. laikotarpiu papildomai gautų 80,464 tūkst. </w:t>
      </w:r>
      <w:proofErr w:type="spellStart"/>
      <w:r w:rsidR="00473432">
        <w:rPr>
          <w:iCs/>
          <w:szCs w:val="24"/>
        </w:rPr>
        <w:t>Eur</w:t>
      </w:r>
      <w:proofErr w:type="spellEnd"/>
      <w:r w:rsidR="00473432">
        <w:rPr>
          <w:iCs/>
          <w:szCs w:val="24"/>
        </w:rPr>
        <w:t xml:space="preserve"> pajamų sumą, dėl šilumos kainoje įskaitytų ir faktiškai patirtų sąnaudų elektros energijai technologinėms reikmėms įsigyti neatitikties 2022 m. sausio 1 d. – 2022 m. gruodžio 31 d. laikotarpiu nepadengtų 48,619 tūkst. </w:t>
      </w:r>
      <w:proofErr w:type="spellStart"/>
      <w:r w:rsidR="00473432">
        <w:rPr>
          <w:iCs/>
          <w:szCs w:val="24"/>
        </w:rPr>
        <w:t>Eur</w:t>
      </w:r>
      <w:proofErr w:type="spellEnd"/>
      <w:r w:rsidR="00473432">
        <w:rPr>
          <w:iCs/>
          <w:szCs w:val="24"/>
        </w:rPr>
        <w:t xml:space="preserve"> sąnaudų sumą, atsižvelgiant į 2021 m. gruodžio 1 d. – 2022 m. lapkričio 30 d. laikotarpiu faktiškai realizuotą kiekį nesusigrąžintų papildomai patirtų 0,396 tūkst. </w:t>
      </w:r>
      <w:proofErr w:type="spellStart"/>
      <w:r w:rsidR="00473432">
        <w:rPr>
          <w:iCs/>
          <w:szCs w:val="24"/>
        </w:rPr>
        <w:t>Eur</w:t>
      </w:r>
      <w:proofErr w:type="spellEnd"/>
      <w:r w:rsidR="00473432">
        <w:rPr>
          <w:iCs/>
          <w:szCs w:val="24"/>
        </w:rPr>
        <w:t xml:space="preserve"> sąnaudų sumą, atsižvelgiant į 2022 m. kovo 1 d – 2023 m. vasario 28 d. laikotarpiu faktiškai realizuotą šilumos kiekį nesusigrąžintų papildomai patirtų 2,062 tūkst. </w:t>
      </w:r>
      <w:proofErr w:type="spellStart"/>
      <w:r w:rsidR="00473432">
        <w:rPr>
          <w:iCs/>
          <w:szCs w:val="24"/>
        </w:rPr>
        <w:t>Eur</w:t>
      </w:r>
      <w:proofErr w:type="spellEnd"/>
      <w:r w:rsidR="00473432">
        <w:rPr>
          <w:iCs/>
          <w:szCs w:val="24"/>
        </w:rPr>
        <w:t xml:space="preserve"> sąnaudų sumą, iš viso 29,387 tūkst. </w:t>
      </w:r>
      <w:proofErr w:type="spellStart"/>
      <w:r w:rsidR="00473432">
        <w:rPr>
          <w:iCs/>
          <w:szCs w:val="24"/>
        </w:rPr>
        <w:t>Eur</w:t>
      </w:r>
      <w:proofErr w:type="spellEnd"/>
      <w:r w:rsidR="00473432">
        <w:rPr>
          <w:iCs/>
          <w:szCs w:val="24"/>
        </w:rPr>
        <w:t xml:space="preserve"> papildomai gautų pajamų, mažinančių šilumos gamybos ir (ar) tiekimo pajamų lygį.</w:t>
      </w:r>
    </w:p>
    <w:p w14:paraId="425B3CED" w14:textId="380FBDC0" w:rsidR="00974B52" w:rsidRPr="00974B52" w:rsidRDefault="00974B52" w:rsidP="00974B52">
      <w:pPr>
        <w:pStyle w:val="Betarp"/>
        <w:ind w:firstLine="720"/>
        <w:rPr>
          <w:iCs/>
          <w:szCs w:val="24"/>
        </w:rPr>
      </w:pPr>
      <w:r>
        <w:rPr>
          <w:rFonts w:eastAsia="Calibri"/>
          <w:lang w:eastAsia="en-US"/>
        </w:rPr>
        <w:t>4</w:t>
      </w:r>
      <w:r w:rsidR="00DB67A6">
        <w:rPr>
          <w:rFonts w:eastAsia="Calibri"/>
          <w:lang w:eastAsia="en-US"/>
        </w:rPr>
        <w:t xml:space="preserve">. </w:t>
      </w:r>
      <w:r>
        <w:rPr>
          <w:color w:val="212529"/>
          <w:shd w:val="clear" w:color="auto" w:fill="FFFFFF"/>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w:t>
      </w:r>
      <w:r>
        <w:rPr>
          <w:color w:val="212529"/>
          <w:shd w:val="clear" w:color="auto" w:fill="FFFFFF"/>
        </w:rPr>
        <w:lastRenderedPageBreak/>
        <w:t>(Galinio Pylimo g. 9, Klaipėdoje) per vieną mėnesį nuo šio sprendimo paskelbimo arba įteikimo suinteresuotam asmeniui dienos.</w:t>
      </w:r>
    </w:p>
    <w:p w14:paraId="68889808" w14:textId="77777777" w:rsidR="00E92834" w:rsidRDefault="00E92834" w:rsidP="00186D8C">
      <w:pPr>
        <w:pStyle w:val="Sraopastraipa1"/>
        <w:ind w:left="0"/>
        <w:jc w:val="both"/>
        <w:rPr>
          <w:rFonts w:ascii="Times New Roman" w:hAnsi="Times New Roman"/>
          <w:sz w:val="24"/>
          <w:szCs w:val="24"/>
          <w:lang w:val="lt-LT"/>
        </w:rPr>
      </w:pPr>
    </w:p>
    <w:p w14:paraId="5B3D5B99" w14:textId="77777777" w:rsidR="00E92834" w:rsidRDefault="00506F86" w:rsidP="00506F86">
      <w:pPr>
        <w:pStyle w:val="Sraopastraipa1"/>
        <w:ind w:left="0"/>
        <w:jc w:val="both"/>
        <w:rPr>
          <w:rFonts w:ascii="Times New Roman" w:hAnsi="Times New Roman"/>
          <w:sz w:val="24"/>
          <w:szCs w:val="24"/>
          <w:lang w:val="lt-LT"/>
        </w:rPr>
      </w:pPr>
      <w:r w:rsidRPr="00186D8C">
        <w:rPr>
          <w:rFonts w:ascii="Times New Roman" w:hAnsi="Times New Roman"/>
          <w:sz w:val="24"/>
          <w:szCs w:val="24"/>
          <w:lang w:val="lt-LT"/>
        </w:rPr>
        <w:t>Savivaldybės meras</w:t>
      </w:r>
    </w:p>
    <w:p w14:paraId="1649C2C0" w14:textId="77777777" w:rsidR="00473432" w:rsidRDefault="00473432" w:rsidP="00506F86">
      <w:pPr>
        <w:pStyle w:val="Sraopastraipa1"/>
        <w:ind w:left="0"/>
        <w:jc w:val="both"/>
        <w:rPr>
          <w:rFonts w:ascii="Times New Roman" w:hAnsi="Times New Roman"/>
          <w:sz w:val="24"/>
          <w:szCs w:val="24"/>
          <w:lang w:val="lt-LT"/>
        </w:rPr>
      </w:pPr>
    </w:p>
    <w:p w14:paraId="08F2E424" w14:textId="77777777" w:rsidR="00974B52" w:rsidRDefault="00974B52" w:rsidP="00506F86">
      <w:pPr>
        <w:pStyle w:val="Sraopastraipa1"/>
        <w:ind w:left="0"/>
        <w:jc w:val="both"/>
        <w:rPr>
          <w:rFonts w:ascii="Times New Roman" w:hAnsi="Times New Roman"/>
          <w:sz w:val="24"/>
          <w:szCs w:val="24"/>
          <w:lang w:val="lt-LT"/>
        </w:rPr>
      </w:pPr>
    </w:p>
    <w:p w14:paraId="1522B733" w14:textId="77777777" w:rsidR="00974B52" w:rsidRDefault="00974B52" w:rsidP="00506F86">
      <w:pPr>
        <w:pStyle w:val="Sraopastraipa1"/>
        <w:ind w:left="0"/>
        <w:jc w:val="both"/>
        <w:rPr>
          <w:rFonts w:ascii="Times New Roman" w:hAnsi="Times New Roman"/>
          <w:sz w:val="24"/>
          <w:szCs w:val="24"/>
          <w:lang w:val="lt-LT"/>
        </w:rPr>
      </w:pPr>
    </w:p>
    <w:p w14:paraId="3C501755" w14:textId="77777777" w:rsidR="00974B52" w:rsidRDefault="00974B52" w:rsidP="00506F86">
      <w:pPr>
        <w:pStyle w:val="Sraopastraipa1"/>
        <w:ind w:left="0"/>
        <w:jc w:val="both"/>
        <w:rPr>
          <w:rFonts w:ascii="Times New Roman" w:hAnsi="Times New Roman"/>
          <w:sz w:val="24"/>
          <w:szCs w:val="24"/>
          <w:lang w:val="lt-LT"/>
        </w:rPr>
      </w:pPr>
    </w:p>
    <w:p w14:paraId="64A630BD" w14:textId="77777777" w:rsidR="00974B52" w:rsidRDefault="00974B52" w:rsidP="00506F86">
      <w:pPr>
        <w:pStyle w:val="Sraopastraipa1"/>
        <w:ind w:left="0"/>
        <w:jc w:val="both"/>
        <w:rPr>
          <w:rFonts w:ascii="Times New Roman" w:hAnsi="Times New Roman"/>
          <w:sz w:val="24"/>
          <w:szCs w:val="24"/>
          <w:lang w:val="lt-LT"/>
        </w:rPr>
      </w:pPr>
    </w:p>
    <w:p w14:paraId="1F82956A" w14:textId="77777777" w:rsidR="00974B52" w:rsidRDefault="00974B52" w:rsidP="00506F86">
      <w:pPr>
        <w:pStyle w:val="Sraopastraipa1"/>
        <w:ind w:left="0"/>
        <w:jc w:val="both"/>
        <w:rPr>
          <w:rFonts w:ascii="Times New Roman" w:hAnsi="Times New Roman"/>
          <w:sz w:val="24"/>
          <w:szCs w:val="24"/>
          <w:lang w:val="lt-LT"/>
        </w:rPr>
      </w:pPr>
    </w:p>
    <w:p w14:paraId="03B36DCB" w14:textId="77777777" w:rsidR="00974B52" w:rsidRDefault="00974B52" w:rsidP="00506F86">
      <w:pPr>
        <w:pStyle w:val="Sraopastraipa1"/>
        <w:ind w:left="0"/>
        <w:jc w:val="both"/>
        <w:rPr>
          <w:rFonts w:ascii="Times New Roman" w:hAnsi="Times New Roman"/>
          <w:sz w:val="24"/>
          <w:szCs w:val="24"/>
          <w:lang w:val="lt-LT"/>
        </w:rPr>
      </w:pPr>
    </w:p>
    <w:p w14:paraId="0FB0D70B" w14:textId="77777777" w:rsidR="00974B52" w:rsidRDefault="00974B52" w:rsidP="00506F86">
      <w:pPr>
        <w:pStyle w:val="Sraopastraipa1"/>
        <w:ind w:left="0"/>
        <w:jc w:val="both"/>
        <w:rPr>
          <w:rFonts w:ascii="Times New Roman" w:hAnsi="Times New Roman"/>
          <w:sz w:val="24"/>
          <w:szCs w:val="24"/>
          <w:lang w:val="lt-LT"/>
        </w:rPr>
      </w:pPr>
    </w:p>
    <w:p w14:paraId="58D7665F" w14:textId="77777777" w:rsidR="00974B52" w:rsidRDefault="00974B52" w:rsidP="00506F86">
      <w:pPr>
        <w:pStyle w:val="Sraopastraipa1"/>
        <w:ind w:left="0"/>
        <w:jc w:val="both"/>
        <w:rPr>
          <w:rFonts w:ascii="Times New Roman" w:hAnsi="Times New Roman"/>
          <w:sz w:val="24"/>
          <w:szCs w:val="24"/>
          <w:lang w:val="lt-LT"/>
        </w:rPr>
      </w:pPr>
    </w:p>
    <w:p w14:paraId="5BFB52D9" w14:textId="77777777" w:rsidR="00974B52" w:rsidRDefault="00974B52" w:rsidP="00506F86">
      <w:pPr>
        <w:pStyle w:val="Sraopastraipa1"/>
        <w:ind w:left="0"/>
        <w:jc w:val="both"/>
        <w:rPr>
          <w:rFonts w:ascii="Times New Roman" w:hAnsi="Times New Roman"/>
          <w:sz w:val="24"/>
          <w:szCs w:val="24"/>
          <w:lang w:val="lt-LT"/>
        </w:rPr>
      </w:pPr>
    </w:p>
    <w:p w14:paraId="2902D9B1" w14:textId="77777777" w:rsidR="00974B52" w:rsidRDefault="00974B52" w:rsidP="00506F86">
      <w:pPr>
        <w:pStyle w:val="Sraopastraipa1"/>
        <w:ind w:left="0"/>
        <w:jc w:val="both"/>
        <w:rPr>
          <w:rFonts w:ascii="Times New Roman" w:hAnsi="Times New Roman"/>
          <w:sz w:val="24"/>
          <w:szCs w:val="24"/>
          <w:lang w:val="lt-LT"/>
        </w:rPr>
      </w:pPr>
    </w:p>
    <w:p w14:paraId="02DE111A" w14:textId="77777777" w:rsidR="00974B52" w:rsidRDefault="00974B52" w:rsidP="00506F86">
      <w:pPr>
        <w:pStyle w:val="Sraopastraipa1"/>
        <w:ind w:left="0"/>
        <w:jc w:val="both"/>
        <w:rPr>
          <w:rFonts w:ascii="Times New Roman" w:hAnsi="Times New Roman"/>
          <w:sz w:val="24"/>
          <w:szCs w:val="24"/>
          <w:lang w:val="lt-LT"/>
        </w:rPr>
      </w:pPr>
    </w:p>
    <w:p w14:paraId="48F4BD4E" w14:textId="77777777" w:rsidR="00974B52" w:rsidRDefault="00974B52" w:rsidP="00506F86">
      <w:pPr>
        <w:pStyle w:val="Sraopastraipa1"/>
        <w:ind w:left="0"/>
        <w:jc w:val="both"/>
        <w:rPr>
          <w:rFonts w:ascii="Times New Roman" w:hAnsi="Times New Roman"/>
          <w:sz w:val="24"/>
          <w:szCs w:val="24"/>
          <w:lang w:val="lt-LT"/>
        </w:rPr>
      </w:pPr>
    </w:p>
    <w:p w14:paraId="12397660" w14:textId="77777777" w:rsidR="00974B52" w:rsidRDefault="00974B52" w:rsidP="00506F86">
      <w:pPr>
        <w:pStyle w:val="Sraopastraipa1"/>
        <w:ind w:left="0"/>
        <w:jc w:val="both"/>
        <w:rPr>
          <w:rFonts w:ascii="Times New Roman" w:hAnsi="Times New Roman"/>
          <w:sz w:val="24"/>
          <w:szCs w:val="24"/>
          <w:lang w:val="lt-LT"/>
        </w:rPr>
      </w:pPr>
    </w:p>
    <w:p w14:paraId="410BD45D" w14:textId="77777777" w:rsidR="00974B52" w:rsidRDefault="00974B52" w:rsidP="00506F86">
      <w:pPr>
        <w:pStyle w:val="Sraopastraipa1"/>
        <w:ind w:left="0"/>
        <w:jc w:val="both"/>
        <w:rPr>
          <w:rFonts w:ascii="Times New Roman" w:hAnsi="Times New Roman"/>
          <w:sz w:val="24"/>
          <w:szCs w:val="24"/>
          <w:lang w:val="lt-LT"/>
        </w:rPr>
      </w:pPr>
    </w:p>
    <w:p w14:paraId="67E50066" w14:textId="77777777" w:rsidR="00974B52" w:rsidRDefault="00974B52" w:rsidP="00506F86">
      <w:pPr>
        <w:pStyle w:val="Sraopastraipa1"/>
        <w:ind w:left="0"/>
        <w:jc w:val="both"/>
        <w:rPr>
          <w:rFonts w:ascii="Times New Roman" w:hAnsi="Times New Roman"/>
          <w:sz w:val="24"/>
          <w:szCs w:val="24"/>
          <w:lang w:val="lt-LT"/>
        </w:rPr>
      </w:pPr>
    </w:p>
    <w:p w14:paraId="472EE69E" w14:textId="77777777" w:rsidR="00974B52" w:rsidRDefault="00974B52" w:rsidP="00506F86">
      <w:pPr>
        <w:pStyle w:val="Sraopastraipa1"/>
        <w:ind w:left="0"/>
        <w:jc w:val="both"/>
        <w:rPr>
          <w:rFonts w:ascii="Times New Roman" w:hAnsi="Times New Roman"/>
          <w:sz w:val="24"/>
          <w:szCs w:val="24"/>
          <w:lang w:val="lt-LT"/>
        </w:rPr>
      </w:pPr>
    </w:p>
    <w:p w14:paraId="03F6B4F4" w14:textId="77777777" w:rsidR="00974B52" w:rsidRDefault="00974B52" w:rsidP="00506F86">
      <w:pPr>
        <w:pStyle w:val="Sraopastraipa1"/>
        <w:ind w:left="0"/>
        <w:jc w:val="both"/>
        <w:rPr>
          <w:rFonts w:ascii="Times New Roman" w:hAnsi="Times New Roman"/>
          <w:sz w:val="24"/>
          <w:szCs w:val="24"/>
          <w:lang w:val="lt-LT"/>
        </w:rPr>
      </w:pPr>
    </w:p>
    <w:p w14:paraId="56C062EA" w14:textId="77777777" w:rsidR="00974B52" w:rsidRDefault="00974B52" w:rsidP="00506F86">
      <w:pPr>
        <w:pStyle w:val="Sraopastraipa1"/>
        <w:ind w:left="0"/>
        <w:jc w:val="both"/>
        <w:rPr>
          <w:rFonts w:ascii="Times New Roman" w:hAnsi="Times New Roman"/>
          <w:sz w:val="24"/>
          <w:szCs w:val="24"/>
          <w:lang w:val="lt-LT"/>
        </w:rPr>
      </w:pPr>
    </w:p>
    <w:p w14:paraId="5F10E3F7" w14:textId="77777777" w:rsidR="00974B52" w:rsidRDefault="00974B52" w:rsidP="00506F86">
      <w:pPr>
        <w:pStyle w:val="Sraopastraipa1"/>
        <w:ind w:left="0"/>
        <w:jc w:val="both"/>
        <w:rPr>
          <w:rFonts w:ascii="Times New Roman" w:hAnsi="Times New Roman"/>
          <w:sz w:val="24"/>
          <w:szCs w:val="24"/>
          <w:lang w:val="lt-LT"/>
        </w:rPr>
      </w:pPr>
    </w:p>
    <w:p w14:paraId="5BC4B843" w14:textId="77777777" w:rsidR="00974B52" w:rsidRDefault="00974B52" w:rsidP="00506F86">
      <w:pPr>
        <w:pStyle w:val="Sraopastraipa1"/>
        <w:ind w:left="0"/>
        <w:jc w:val="both"/>
        <w:rPr>
          <w:rFonts w:ascii="Times New Roman" w:hAnsi="Times New Roman"/>
          <w:sz w:val="24"/>
          <w:szCs w:val="24"/>
          <w:lang w:val="lt-LT"/>
        </w:rPr>
      </w:pPr>
    </w:p>
    <w:p w14:paraId="6B213004" w14:textId="77777777" w:rsidR="00974B52" w:rsidRDefault="00974B52" w:rsidP="00506F86">
      <w:pPr>
        <w:pStyle w:val="Sraopastraipa1"/>
        <w:ind w:left="0"/>
        <w:jc w:val="both"/>
        <w:rPr>
          <w:rFonts w:ascii="Times New Roman" w:hAnsi="Times New Roman"/>
          <w:sz w:val="24"/>
          <w:szCs w:val="24"/>
          <w:lang w:val="lt-LT"/>
        </w:rPr>
      </w:pPr>
    </w:p>
    <w:p w14:paraId="5FC4555D" w14:textId="77777777" w:rsidR="00974B52" w:rsidRDefault="00974B52" w:rsidP="00506F86">
      <w:pPr>
        <w:pStyle w:val="Sraopastraipa1"/>
        <w:ind w:left="0"/>
        <w:jc w:val="both"/>
        <w:rPr>
          <w:rFonts w:ascii="Times New Roman" w:hAnsi="Times New Roman"/>
          <w:sz w:val="24"/>
          <w:szCs w:val="24"/>
          <w:lang w:val="lt-LT"/>
        </w:rPr>
      </w:pPr>
    </w:p>
    <w:p w14:paraId="011B5A12" w14:textId="77777777" w:rsidR="00974B52" w:rsidRDefault="00974B52" w:rsidP="00506F86">
      <w:pPr>
        <w:pStyle w:val="Sraopastraipa1"/>
        <w:ind w:left="0"/>
        <w:jc w:val="both"/>
        <w:rPr>
          <w:rFonts w:ascii="Times New Roman" w:hAnsi="Times New Roman"/>
          <w:sz w:val="24"/>
          <w:szCs w:val="24"/>
          <w:lang w:val="lt-LT"/>
        </w:rPr>
      </w:pPr>
    </w:p>
    <w:p w14:paraId="6ED1E1D5" w14:textId="77777777" w:rsidR="00974B52" w:rsidRDefault="00974B52" w:rsidP="00506F86">
      <w:pPr>
        <w:pStyle w:val="Sraopastraipa1"/>
        <w:ind w:left="0"/>
        <w:jc w:val="both"/>
        <w:rPr>
          <w:rFonts w:ascii="Times New Roman" w:hAnsi="Times New Roman"/>
          <w:sz w:val="24"/>
          <w:szCs w:val="24"/>
          <w:lang w:val="lt-LT"/>
        </w:rPr>
      </w:pPr>
    </w:p>
    <w:p w14:paraId="75B831F7" w14:textId="77777777" w:rsidR="00974B52" w:rsidRDefault="00974B52" w:rsidP="00506F86">
      <w:pPr>
        <w:pStyle w:val="Sraopastraipa1"/>
        <w:ind w:left="0"/>
        <w:jc w:val="both"/>
        <w:rPr>
          <w:rFonts w:ascii="Times New Roman" w:hAnsi="Times New Roman"/>
          <w:sz w:val="24"/>
          <w:szCs w:val="24"/>
          <w:lang w:val="lt-LT"/>
        </w:rPr>
      </w:pPr>
    </w:p>
    <w:p w14:paraId="5EB673E2" w14:textId="77777777" w:rsidR="00974B52" w:rsidRDefault="00974B52" w:rsidP="00506F86">
      <w:pPr>
        <w:pStyle w:val="Sraopastraipa1"/>
        <w:ind w:left="0"/>
        <w:jc w:val="both"/>
        <w:rPr>
          <w:rFonts w:ascii="Times New Roman" w:hAnsi="Times New Roman"/>
          <w:sz w:val="24"/>
          <w:szCs w:val="24"/>
          <w:lang w:val="lt-LT"/>
        </w:rPr>
      </w:pPr>
    </w:p>
    <w:p w14:paraId="473E57F0" w14:textId="77777777" w:rsidR="00974B52" w:rsidRDefault="00974B52" w:rsidP="00506F86">
      <w:pPr>
        <w:pStyle w:val="Sraopastraipa1"/>
        <w:ind w:left="0"/>
        <w:jc w:val="both"/>
        <w:rPr>
          <w:rFonts w:ascii="Times New Roman" w:hAnsi="Times New Roman"/>
          <w:sz w:val="24"/>
          <w:szCs w:val="24"/>
          <w:lang w:val="lt-LT"/>
        </w:rPr>
      </w:pPr>
    </w:p>
    <w:p w14:paraId="1B646A0D" w14:textId="77777777" w:rsidR="00974B52" w:rsidRDefault="00974B52" w:rsidP="00506F86">
      <w:pPr>
        <w:pStyle w:val="Sraopastraipa1"/>
        <w:ind w:left="0"/>
        <w:jc w:val="both"/>
        <w:rPr>
          <w:rFonts w:ascii="Times New Roman" w:hAnsi="Times New Roman"/>
          <w:sz w:val="24"/>
          <w:szCs w:val="24"/>
          <w:lang w:val="lt-LT"/>
        </w:rPr>
      </w:pPr>
    </w:p>
    <w:p w14:paraId="595CF915" w14:textId="77777777" w:rsidR="00974B52" w:rsidRDefault="00974B52" w:rsidP="00506F86">
      <w:pPr>
        <w:pStyle w:val="Sraopastraipa1"/>
        <w:ind w:left="0"/>
        <w:jc w:val="both"/>
        <w:rPr>
          <w:rFonts w:ascii="Times New Roman" w:hAnsi="Times New Roman"/>
          <w:sz w:val="24"/>
          <w:szCs w:val="24"/>
          <w:lang w:val="lt-LT"/>
        </w:rPr>
      </w:pPr>
    </w:p>
    <w:p w14:paraId="6588A6A9" w14:textId="77777777" w:rsidR="00974B52" w:rsidRDefault="00974B52" w:rsidP="00506F86">
      <w:pPr>
        <w:pStyle w:val="Sraopastraipa1"/>
        <w:ind w:left="0"/>
        <w:jc w:val="both"/>
        <w:rPr>
          <w:rFonts w:ascii="Times New Roman" w:hAnsi="Times New Roman"/>
          <w:sz w:val="24"/>
          <w:szCs w:val="24"/>
          <w:lang w:val="lt-LT"/>
        </w:rPr>
      </w:pPr>
    </w:p>
    <w:p w14:paraId="1882F293" w14:textId="77777777" w:rsidR="00974B52" w:rsidRDefault="00974B52" w:rsidP="00506F86">
      <w:pPr>
        <w:pStyle w:val="Sraopastraipa1"/>
        <w:ind w:left="0"/>
        <w:jc w:val="both"/>
        <w:rPr>
          <w:rFonts w:ascii="Times New Roman" w:hAnsi="Times New Roman"/>
          <w:sz w:val="24"/>
          <w:szCs w:val="24"/>
          <w:lang w:val="lt-LT"/>
        </w:rPr>
      </w:pPr>
    </w:p>
    <w:p w14:paraId="187D566E" w14:textId="77777777" w:rsidR="00974B52" w:rsidRDefault="00974B52" w:rsidP="00506F86">
      <w:pPr>
        <w:pStyle w:val="Sraopastraipa1"/>
        <w:ind w:left="0"/>
        <w:jc w:val="both"/>
        <w:rPr>
          <w:rFonts w:ascii="Times New Roman" w:hAnsi="Times New Roman"/>
          <w:sz w:val="24"/>
          <w:szCs w:val="24"/>
          <w:lang w:val="lt-LT"/>
        </w:rPr>
      </w:pPr>
    </w:p>
    <w:p w14:paraId="37AC26F2" w14:textId="77777777" w:rsidR="00974B52" w:rsidRDefault="00974B52" w:rsidP="00506F86">
      <w:pPr>
        <w:pStyle w:val="Sraopastraipa1"/>
        <w:ind w:left="0"/>
        <w:jc w:val="both"/>
        <w:rPr>
          <w:rFonts w:ascii="Times New Roman" w:hAnsi="Times New Roman"/>
          <w:sz w:val="24"/>
          <w:szCs w:val="24"/>
          <w:lang w:val="lt-LT"/>
        </w:rPr>
      </w:pPr>
    </w:p>
    <w:p w14:paraId="6CA9F240" w14:textId="77777777" w:rsidR="00974B52" w:rsidRDefault="00974B52" w:rsidP="00506F86">
      <w:pPr>
        <w:pStyle w:val="Sraopastraipa1"/>
        <w:ind w:left="0"/>
        <w:jc w:val="both"/>
        <w:rPr>
          <w:rFonts w:ascii="Times New Roman" w:hAnsi="Times New Roman"/>
          <w:sz w:val="24"/>
          <w:szCs w:val="24"/>
          <w:lang w:val="lt-LT"/>
        </w:rPr>
      </w:pPr>
    </w:p>
    <w:p w14:paraId="22CD9CCA" w14:textId="77777777" w:rsidR="00974B52" w:rsidRDefault="00974B52" w:rsidP="00506F86">
      <w:pPr>
        <w:pStyle w:val="Sraopastraipa1"/>
        <w:ind w:left="0"/>
        <w:jc w:val="both"/>
        <w:rPr>
          <w:rFonts w:ascii="Times New Roman" w:hAnsi="Times New Roman"/>
          <w:sz w:val="24"/>
          <w:szCs w:val="24"/>
          <w:lang w:val="lt-LT"/>
        </w:rPr>
      </w:pPr>
    </w:p>
    <w:p w14:paraId="5E82FA1A" w14:textId="77777777" w:rsidR="00974B52" w:rsidRDefault="00974B52" w:rsidP="00506F86">
      <w:pPr>
        <w:pStyle w:val="Sraopastraipa1"/>
        <w:ind w:left="0"/>
        <w:jc w:val="both"/>
        <w:rPr>
          <w:rFonts w:ascii="Times New Roman" w:hAnsi="Times New Roman"/>
          <w:sz w:val="24"/>
          <w:szCs w:val="24"/>
          <w:lang w:val="lt-LT"/>
        </w:rPr>
      </w:pPr>
    </w:p>
    <w:p w14:paraId="5A70C95F" w14:textId="77777777" w:rsidR="00974B52" w:rsidRDefault="00974B52" w:rsidP="00506F86">
      <w:pPr>
        <w:pStyle w:val="Sraopastraipa1"/>
        <w:ind w:left="0"/>
        <w:jc w:val="both"/>
        <w:rPr>
          <w:rFonts w:ascii="Times New Roman" w:hAnsi="Times New Roman"/>
          <w:sz w:val="24"/>
          <w:szCs w:val="24"/>
          <w:lang w:val="lt-LT"/>
        </w:rPr>
      </w:pPr>
    </w:p>
    <w:p w14:paraId="380B3327" w14:textId="77777777" w:rsidR="00974B52" w:rsidRDefault="00974B52" w:rsidP="00506F86">
      <w:pPr>
        <w:pStyle w:val="Sraopastraipa1"/>
        <w:ind w:left="0"/>
        <w:jc w:val="both"/>
        <w:rPr>
          <w:rFonts w:ascii="Times New Roman" w:hAnsi="Times New Roman"/>
          <w:sz w:val="24"/>
          <w:szCs w:val="24"/>
          <w:lang w:val="lt-LT"/>
        </w:rPr>
      </w:pPr>
    </w:p>
    <w:p w14:paraId="06D8D461" w14:textId="77777777" w:rsidR="00974B52" w:rsidRDefault="00974B52" w:rsidP="00506F86">
      <w:pPr>
        <w:pStyle w:val="Sraopastraipa1"/>
        <w:ind w:left="0"/>
        <w:jc w:val="both"/>
        <w:rPr>
          <w:rFonts w:ascii="Times New Roman" w:hAnsi="Times New Roman"/>
          <w:sz w:val="24"/>
          <w:szCs w:val="24"/>
          <w:lang w:val="lt-LT"/>
        </w:rPr>
      </w:pPr>
    </w:p>
    <w:p w14:paraId="4A42773D" w14:textId="77777777" w:rsidR="00195F3D" w:rsidRDefault="00195F3D" w:rsidP="00506F86">
      <w:pPr>
        <w:pStyle w:val="Sraopastraipa1"/>
        <w:ind w:left="0"/>
        <w:jc w:val="both"/>
        <w:rPr>
          <w:rFonts w:ascii="Times New Roman" w:hAnsi="Times New Roman"/>
          <w:sz w:val="24"/>
          <w:szCs w:val="24"/>
          <w:lang w:val="lt-LT"/>
        </w:rPr>
      </w:pPr>
    </w:p>
    <w:p w14:paraId="4E9DC8E4" w14:textId="77777777" w:rsidR="00186D8C" w:rsidRDefault="00506F86" w:rsidP="00186D8C">
      <w:pPr>
        <w:pStyle w:val="Sraopastraipa1"/>
        <w:ind w:left="0"/>
        <w:rPr>
          <w:rFonts w:ascii="Times New Roman" w:hAnsi="Times New Roman"/>
          <w:sz w:val="24"/>
          <w:szCs w:val="24"/>
          <w:lang w:val="lt-LT"/>
        </w:rPr>
        <w:sectPr w:rsidR="00186D8C" w:rsidSect="00974B52">
          <w:headerReference w:type="default" r:id="rId8"/>
          <w:headerReference w:type="first" r:id="rId9"/>
          <w:pgSz w:w="11906" w:h="16838"/>
          <w:pgMar w:top="1134" w:right="567" w:bottom="1134" w:left="1701" w:header="567" w:footer="567" w:gutter="0"/>
          <w:cols w:space="1296"/>
          <w:titlePg/>
          <w:docGrid w:linePitch="360"/>
        </w:sectPr>
      </w:pPr>
      <w:r>
        <w:rPr>
          <w:rFonts w:ascii="Times New Roman" w:hAnsi="Times New Roman"/>
          <w:sz w:val="24"/>
          <w:szCs w:val="24"/>
          <w:lang w:val="lt-LT"/>
        </w:rPr>
        <w:t xml:space="preserve">Renata </w:t>
      </w:r>
      <w:proofErr w:type="spellStart"/>
      <w:r>
        <w:rPr>
          <w:rFonts w:ascii="Times New Roman" w:hAnsi="Times New Roman"/>
          <w:sz w:val="24"/>
          <w:szCs w:val="24"/>
          <w:lang w:val="lt-LT"/>
        </w:rPr>
        <w:t>Ambrazevičienė</w:t>
      </w:r>
      <w:proofErr w:type="spellEnd"/>
    </w:p>
    <w:p w14:paraId="7A9B2848" w14:textId="2B6C6A3B" w:rsidR="00A06A9D" w:rsidRDefault="00A06A9D" w:rsidP="00A06A9D">
      <w:pPr>
        <w:jc w:val="center"/>
        <w:rPr>
          <w:b/>
        </w:rPr>
      </w:pPr>
      <w:r w:rsidRPr="00766E67">
        <w:rPr>
          <w:b/>
        </w:rPr>
        <w:lastRenderedPageBreak/>
        <w:t>AIŠKINAMASIS RAŠTAS</w:t>
      </w:r>
    </w:p>
    <w:p w14:paraId="2D65482B" w14:textId="54A2C1CC" w:rsidR="00353646" w:rsidRPr="00766E67" w:rsidRDefault="00353646" w:rsidP="00A06A9D">
      <w:pPr>
        <w:jc w:val="center"/>
        <w:rPr>
          <w:b/>
        </w:rPr>
      </w:pPr>
      <w:r w:rsidRPr="00766E67">
        <w:rPr>
          <w:b/>
        </w:rPr>
        <w:t>PRIE KRETINGOS RAJONO SAVIVALDYBĖS TARYBOS SPRENDIMO</w:t>
      </w:r>
      <w:r w:rsidR="00186D8C">
        <w:rPr>
          <w:b/>
        </w:rPr>
        <w:t xml:space="preserve"> PROJEKTO</w:t>
      </w:r>
    </w:p>
    <w:p w14:paraId="218E76C2" w14:textId="15656BEE" w:rsidR="00A06A9D" w:rsidRDefault="00353646" w:rsidP="00A06A9D">
      <w:pPr>
        <w:jc w:val="center"/>
        <w:rPr>
          <w:b/>
          <w:caps/>
        </w:rPr>
      </w:pPr>
      <w:r w:rsidRPr="00766E67">
        <w:rPr>
          <w:b/>
          <w:caps/>
        </w:rPr>
        <w:t>„</w:t>
      </w:r>
      <w:r w:rsidR="00404769" w:rsidRPr="00186D8C">
        <w:rPr>
          <w:b/>
          <w:bCs/>
        </w:rPr>
        <w:t xml:space="preserve">DĖL UAB KRETINGOS ŠILUMOS TINKLŲ </w:t>
      </w:r>
      <w:r w:rsidR="00404769">
        <w:rPr>
          <w:b/>
        </w:rPr>
        <w:t>KOREGUOTO ŠILUMOS GAMYBOS IR (AR) TIEKIMO PAJAMŲ BAZINIO LYGIO NUSTATYMO</w:t>
      </w:r>
      <w:r w:rsidRPr="00766E67">
        <w:rPr>
          <w:b/>
          <w:caps/>
        </w:rPr>
        <w:t>“</w:t>
      </w:r>
    </w:p>
    <w:p w14:paraId="08267ABB" w14:textId="77777777" w:rsidR="00457498" w:rsidRDefault="00457498" w:rsidP="00457498">
      <w:pPr>
        <w:rPr>
          <w:bCs/>
          <w:caps/>
        </w:rPr>
      </w:pPr>
    </w:p>
    <w:p w14:paraId="2F6DFC7F" w14:textId="77777777" w:rsidR="00D771FF" w:rsidRPr="00974B52" w:rsidRDefault="00D771FF" w:rsidP="00457498">
      <w:pPr>
        <w:rPr>
          <w:bCs/>
          <w:caps/>
        </w:rPr>
      </w:pPr>
    </w:p>
    <w:p w14:paraId="473F0172" w14:textId="77777777" w:rsidR="00457498" w:rsidRPr="00033D28" w:rsidRDefault="00457498" w:rsidP="00457498">
      <w:pPr>
        <w:jc w:val="center"/>
        <w:rPr>
          <w:caps/>
        </w:rPr>
      </w:pPr>
      <w:r w:rsidRPr="00033D28">
        <w:t>20</w:t>
      </w:r>
      <w:r>
        <w:t>23</w:t>
      </w:r>
      <w:r w:rsidRPr="00033D28">
        <w:t xml:space="preserve"> m. </w:t>
      </w:r>
      <w:r>
        <w:t xml:space="preserve">lapkričio     </w:t>
      </w:r>
      <w:r w:rsidRPr="00033D28">
        <w:t>d.</w:t>
      </w:r>
    </w:p>
    <w:p w14:paraId="57273E04" w14:textId="77777777" w:rsidR="00457498" w:rsidRDefault="00457498" w:rsidP="00457498">
      <w:pPr>
        <w:jc w:val="center"/>
        <w:rPr>
          <w:b/>
        </w:rPr>
      </w:pPr>
      <w:r w:rsidRPr="004C2115">
        <w:t>Kretinga</w:t>
      </w:r>
    </w:p>
    <w:p w14:paraId="766AA608" w14:textId="77777777" w:rsidR="00030A14" w:rsidRDefault="00030A14" w:rsidP="00186D8C">
      <w:pPr>
        <w:rPr>
          <w:bCs/>
          <w:caps/>
        </w:rPr>
      </w:pPr>
    </w:p>
    <w:p w14:paraId="1CBA6D17" w14:textId="4DA2293B" w:rsidR="00147BAB" w:rsidRPr="00147BAB" w:rsidRDefault="00147BAB" w:rsidP="00147BAB">
      <w:pPr>
        <w:pStyle w:val="Sraopastraipa"/>
        <w:spacing w:after="0" w:line="240" w:lineRule="auto"/>
        <w:jc w:val="both"/>
        <w:rPr>
          <w:rFonts w:ascii="Times New Roman" w:hAnsi="Times New Roman"/>
          <w:b/>
          <w:sz w:val="24"/>
          <w:szCs w:val="24"/>
        </w:rPr>
      </w:pPr>
      <w:r>
        <w:rPr>
          <w:rFonts w:ascii="Times New Roman" w:hAnsi="Times New Roman"/>
          <w:b/>
          <w:sz w:val="24"/>
          <w:szCs w:val="24"/>
        </w:rPr>
        <w:t xml:space="preserve">1. </w:t>
      </w:r>
      <w:r w:rsidR="00457498" w:rsidRPr="005852EA">
        <w:rPr>
          <w:rFonts w:ascii="Times New Roman" w:hAnsi="Times New Roman"/>
          <w:b/>
          <w:sz w:val="24"/>
          <w:szCs w:val="24"/>
          <w:lang w:val="lt-LT"/>
        </w:rPr>
        <w:t>Parengto sprendimo projekto tikslas ir uždaviniai.</w:t>
      </w:r>
    </w:p>
    <w:p w14:paraId="118C48ED" w14:textId="6F8480B8" w:rsidR="00941A54" w:rsidRDefault="00066B65" w:rsidP="00147BAB">
      <w:pPr>
        <w:ind w:firstLine="720"/>
        <w:jc w:val="both"/>
        <w:rPr>
          <w:iCs/>
        </w:rPr>
      </w:pPr>
      <w:r w:rsidRPr="00147BAB">
        <w:t>V</w:t>
      </w:r>
      <w:r w:rsidR="00353646" w:rsidRPr="00147BAB">
        <w:t>adovau</w:t>
      </w:r>
      <w:r w:rsidR="009405D3" w:rsidRPr="00147BAB">
        <w:t xml:space="preserve">jantis </w:t>
      </w:r>
      <w:r w:rsidR="00941A54">
        <w:t>Lietuvos Respublikos š</w:t>
      </w:r>
      <w:r w:rsidR="009405D3" w:rsidRPr="00147BAB">
        <w:t>ilumos ūkio įstatymu</w:t>
      </w:r>
      <w:r w:rsidR="00C31C4F" w:rsidRPr="00147BAB">
        <w:t xml:space="preserve"> ir Šilumos kainų nustatymo metodika, patvirtinta Valstybinės kainų ir energetikos kontrolės komisijos 2009 m. liepos 8 d. nutarimu Nr. O3-96 „Dėl Šilumos kainų nustatymo metodikos“</w:t>
      </w:r>
      <w:r w:rsidR="005852EA">
        <w:t xml:space="preserve"> (</w:t>
      </w:r>
      <w:r w:rsidR="00473432" w:rsidRPr="00473432">
        <w:rPr>
          <w:color w:val="000000"/>
          <w:shd w:val="clear" w:color="auto" w:fill="FFFFFF"/>
        </w:rPr>
        <w:t>nauja redakcija nuo 2023</w:t>
      </w:r>
      <w:r w:rsidR="00132F63">
        <w:rPr>
          <w:color w:val="000000"/>
          <w:shd w:val="clear" w:color="auto" w:fill="FFFFFF"/>
        </w:rPr>
        <w:t xml:space="preserve"> </w:t>
      </w:r>
      <w:r w:rsidR="00473432">
        <w:rPr>
          <w:color w:val="000000"/>
          <w:shd w:val="clear" w:color="auto" w:fill="FFFFFF"/>
        </w:rPr>
        <w:t xml:space="preserve">m. spalio </w:t>
      </w:r>
      <w:r w:rsidR="00473432" w:rsidRPr="00473432">
        <w:rPr>
          <w:color w:val="000000"/>
          <w:shd w:val="clear" w:color="auto" w:fill="FFFFFF"/>
        </w:rPr>
        <w:t>1</w:t>
      </w:r>
      <w:r w:rsidR="00473432">
        <w:rPr>
          <w:color w:val="000000"/>
          <w:shd w:val="clear" w:color="auto" w:fill="FFFFFF"/>
        </w:rPr>
        <w:t xml:space="preserve"> d.</w:t>
      </w:r>
      <w:r w:rsidR="005852EA">
        <w:t>)</w:t>
      </w:r>
      <w:r w:rsidR="00132F63">
        <w:t xml:space="preserve"> (toliau </w:t>
      </w:r>
      <w:r w:rsidR="00617ABA">
        <w:t>–</w:t>
      </w:r>
      <w:r w:rsidR="00132F63" w:rsidRPr="00132F63">
        <w:t xml:space="preserve"> </w:t>
      </w:r>
      <w:r w:rsidR="00132F63" w:rsidRPr="00147BAB">
        <w:t>Šilumos kainų nustatymo metodika</w:t>
      </w:r>
      <w:r w:rsidR="00132F63">
        <w:t>)</w:t>
      </w:r>
      <w:r w:rsidR="00C00CD2" w:rsidRPr="00147BAB">
        <w:t>,</w:t>
      </w:r>
      <w:r w:rsidR="009405D3" w:rsidRPr="00147BAB">
        <w:t xml:space="preserve"> </w:t>
      </w:r>
      <w:r w:rsidR="00353646" w:rsidRPr="00147BAB">
        <w:t xml:space="preserve">nustatyti </w:t>
      </w:r>
      <w:r w:rsidR="005852EA" w:rsidRPr="005852EA">
        <w:t>tre</w:t>
      </w:r>
      <w:r w:rsidR="00837259" w:rsidRPr="005852EA">
        <w:t>tiesiems</w:t>
      </w:r>
      <w:r w:rsidR="009405D3" w:rsidRPr="00147BAB">
        <w:rPr>
          <w:lang w:val="pt-BR"/>
        </w:rPr>
        <w:t xml:space="preserve"> </w:t>
      </w:r>
      <w:r w:rsidR="00A965AE" w:rsidRPr="00147BAB">
        <w:rPr>
          <w:lang w:val="pt-BR"/>
        </w:rPr>
        <w:t>šilumos bazin</w:t>
      </w:r>
      <w:r w:rsidR="005852EA">
        <w:rPr>
          <w:lang w:val="pt-BR"/>
        </w:rPr>
        <w:t>ės</w:t>
      </w:r>
      <w:r w:rsidR="009405D3" w:rsidRPr="00147BAB">
        <w:rPr>
          <w:lang w:val="pt-BR"/>
        </w:rPr>
        <w:t xml:space="preserve"> ka</w:t>
      </w:r>
      <w:r w:rsidR="00A965AE" w:rsidRPr="00147BAB">
        <w:rPr>
          <w:lang w:val="pt-BR"/>
        </w:rPr>
        <w:t>in</w:t>
      </w:r>
      <w:r w:rsidR="005852EA">
        <w:rPr>
          <w:lang w:val="pt-BR"/>
        </w:rPr>
        <w:t>os</w:t>
      </w:r>
      <w:r w:rsidR="009F181B" w:rsidRPr="00147BAB">
        <w:rPr>
          <w:lang w:val="pt-BR"/>
        </w:rPr>
        <w:t xml:space="preserve"> </w:t>
      </w:r>
      <w:r w:rsidR="009405D3" w:rsidRPr="00147BAB">
        <w:rPr>
          <w:lang w:val="pt-BR"/>
        </w:rPr>
        <w:t xml:space="preserve">galiojimo metams, nuo </w:t>
      </w:r>
      <w:r w:rsidR="009405D3" w:rsidRPr="00134A65">
        <w:rPr>
          <w:lang w:val="pt-BR"/>
        </w:rPr>
        <w:t>20</w:t>
      </w:r>
      <w:r w:rsidR="00FF66A3" w:rsidRPr="00134A65">
        <w:rPr>
          <w:lang w:val="pt-BR"/>
        </w:rPr>
        <w:t>2</w:t>
      </w:r>
      <w:r w:rsidR="005852EA" w:rsidRPr="00134A65">
        <w:rPr>
          <w:lang w:val="pt-BR"/>
        </w:rPr>
        <w:t>4</w:t>
      </w:r>
      <w:r w:rsidR="009405D3" w:rsidRPr="00134A65">
        <w:rPr>
          <w:lang w:val="pt-BR"/>
        </w:rPr>
        <w:t xml:space="preserve"> m. </w:t>
      </w:r>
      <w:r w:rsidR="00E95521" w:rsidRPr="00134A65">
        <w:rPr>
          <w:lang w:val="pt-BR"/>
        </w:rPr>
        <w:t>kov</w:t>
      </w:r>
      <w:r w:rsidR="007274F3" w:rsidRPr="00134A65">
        <w:rPr>
          <w:lang w:val="pt-BR"/>
        </w:rPr>
        <w:t>o</w:t>
      </w:r>
      <w:r w:rsidR="009405D3" w:rsidRPr="00134A65">
        <w:rPr>
          <w:lang w:val="pt-BR"/>
        </w:rPr>
        <w:t xml:space="preserve"> 1 d. iki 20</w:t>
      </w:r>
      <w:r w:rsidR="00FF66A3" w:rsidRPr="00134A65">
        <w:rPr>
          <w:lang w:val="pt-BR"/>
        </w:rPr>
        <w:t>2</w:t>
      </w:r>
      <w:r w:rsidR="005852EA" w:rsidRPr="00134A65">
        <w:rPr>
          <w:lang w:val="pt-BR"/>
        </w:rPr>
        <w:t>5</w:t>
      </w:r>
      <w:r w:rsidR="009405D3" w:rsidRPr="00134A65">
        <w:rPr>
          <w:lang w:val="pt-BR"/>
        </w:rPr>
        <w:t xml:space="preserve"> m. </w:t>
      </w:r>
      <w:r w:rsidR="00E95521" w:rsidRPr="00134A65">
        <w:rPr>
          <w:lang w:val="pt-BR"/>
        </w:rPr>
        <w:t>vasario 28</w:t>
      </w:r>
      <w:r w:rsidR="009405D3" w:rsidRPr="00134A65">
        <w:rPr>
          <w:lang w:val="pt-BR"/>
        </w:rPr>
        <w:t xml:space="preserve"> d.,</w:t>
      </w:r>
      <w:r w:rsidR="009405D3" w:rsidRPr="00147BAB">
        <w:rPr>
          <w:lang w:val="pt-BR"/>
        </w:rPr>
        <w:t xml:space="preserve"> </w:t>
      </w:r>
      <w:r w:rsidR="00192731" w:rsidRPr="00147BAB">
        <w:rPr>
          <w:lang w:val="pt-BR"/>
        </w:rPr>
        <w:t>UAB</w:t>
      </w:r>
      <w:r w:rsidR="009405D3" w:rsidRPr="00147BAB">
        <w:rPr>
          <w:lang w:val="pt-BR"/>
        </w:rPr>
        <w:t xml:space="preserve"> Kretingos šilumos tinklų </w:t>
      </w:r>
      <w:r w:rsidR="00473432">
        <w:t>koreguotą šilumos gamybos ir (ar) tiekimo pajamų bazinį lygį</w:t>
      </w:r>
      <w:r w:rsidR="00851A06" w:rsidRPr="00147BAB">
        <w:rPr>
          <w:lang w:val="pt-BR"/>
        </w:rPr>
        <w:t xml:space="preserve"> bei</w:t>
      </w:r>
      <w:r w:rsidR="002173DB" w:rsidRPr="00147BAB">
        <w:rPr>
          <w:lang w:val="pt-BR"/>
        </w:rPr>
        <w:t xml:space="preserve"> </w:t>
      </w:r>
      <w:r w:rsidR="00134A65">
        <w:rPr>
          <w:lang w:val="pt-BR"/>
        </w:rPr>
        <w:t>paskirstyti</w:t>
      </w:r>
      <w:r w:rsidR="00941A54">
        <w:rPr>
          <w:lang w:val="pt-BR"/>
        </w:rPr>
        <w:t xml:space="preserve"> </w:t>
      </w:r>
      <w:r w:rsidR="00941A54">
        <w:rPr>
          <w:iCs/>
        </w:rPr>
        <w:t xml:space="preserve">papildomai gautų pajamų, mažinančių šilumos gamybos ir (ar) tiekimo pajamų lygį, sumą </w:t>
      </w:r>
      <w:r w:rsidR="00617ABA">
        <w:rPr>
          <w:iCs/>
        </w:rPr>
        <w:t>–</w:t>
      </w:r>
      <w:r w:rsidR="00941A54">
        <w:rPr>
          <w:iCs/>
        </w:rPr>
        <w:t xml:space="preserve"> 29,387 tūkst. </w:t>
      </w:r>
      <w:proofErr w:type="spellStart"/>
      <w:r w:rsidR="00941A54">
        <w:rPr>
          <w:iCs/>
        </w:rPr>
        <w:t>Eur</w:t>
      </w:r>
      <w:proofErr w:type="spellEnd"/>
      <w:r w:rsidR="00941A54">
        <w:rPr>
          <w:iCs/>
        </w:rPr>
        <w:t>.</w:t>
      </w:r>
    </w:p>
    <w:p w14:paraId="45CB92B4" w14:textId="250D97B7" w:rsidR="00147BAB" w:rsidRPr="00147BAB" w:rsidRDefault="00147BAB" w:rsidP="00147BAB">
      <w:pPr>
        <w:widowControl/>
        <w:suppressAutoHyphens w:val="0"/>
        <w:ind w:firstLine="720"/>
        <w:jc w:val="both"/>
        <w:rPr>
          <w:b/>
        </w:rPr>
      </w:pPr>
      <w:r w:rsidRPr="00147BAB">
        <w:rPr>
          <w:b/>
        </w:rPr>
        <w:t>2. Siūlomos teisinio reguliavimo nuostatos, šiuo metu esantis teisinis reglamentavimas, kokie šios srities teisės aktai tebegalioja ir kokius teisės aktus būtina pakeisti ar panaikinti, priėmus teikiamą tarybos sprendimo projektą.</w:t>
      </w:r>
    </w:p>
    <w:p w14:paraId="5B156B05" w14:textId="3C3CB2CD" w:rsidR="00EE4CEF" w:rsidRPr="00147BAB" w:rsidRDefault="00EE4CEF" w:rsidP="00147BAB">
      <w:pPr>
        <w:ind w:firstLine="720"/>
        <w:jc w:val="both"/>
      </w:pPr>
      <w:r w:rsidRPr="00147BAB">
        <w:t>Valstybinė energetikos reguliavimo taryba (toliau</w:t>
      </w:r>
      <w:r w:rsidR="00186D8C" w:rsidRPr="00147BAB">
        <w:t xml:space="preserve"> –</w:t>
      </w:r>
      <w:r w:rsidRPr="00147BAB">
        <w:t xml:space="preserve"> VERT) 2021 m. gruodžio 17 d. nutarimu Nr. O3E-1702 „Dėl UAB Kretingos šilumos tinklų šilumos bazinės kainos dedamųjų nustatymo“ nustatė UAB Kretingos šilumos tinklams šilumos bazinės kainos dedamąsias, kurios galioja iki 2024</w:t>
      </w:r>
      <w:r w:rsidR="00617ABA">
        <w:t> </w:t>
      </w:r>
      <w:r w:rsidRPr="00147BAB">
        <w:t>m. gruodžio 31 d.</w:t>
      </w:r>
    </w:p>
    <w:p w14:paraId="5FB785C4" w14:textId="4CAF751B" w:rsidR="00EE4CEF" w:rsidRDefault="00EE4CEF" w:rsidP="00147BAB">
      <w:pPr>
        <w:ind w:firstLine="720"/>
        <w:jc w:val="both"/>
      </w:pPr>
      <w:r w:rsidRPr="00147BAB">
        <w:t>UAB Kretingos šilumos tinklų šilumos kainos dedamosios pirmiesiems šilumos bazinės kainos galiojimo metams vienašališkai nustatytos VERT 2022 m. sausio 31 d. nutarimu Nr. O3E-84 „Dėl UAB Kretingos šilumos tinklų šilumos kainų dedamųjų vienašališko nustatymo“ ir pradėtos taikyti nuo 2022 m. vasario 1 d.</w:t>
      </w:r>
    </w:p>
    <w:p w14:paraId="0DB77007" w14:textId="2F0BCC3B" w:rsidR="00941A54" w:rsidRDefault="00941A54" w:rsidP="00147BAB">
      <w:pPr>
        <w:ind w:firstLine="720"/>
        <w:jc w:val="both"/>
      </w:pPr>
      <w:r w:rsidRPr="00147BAB">
        <w:t xml:space="preserve">UAB Kretingos šilumos tinklų </w:t>
      </w:r>
      <w:r w:rsidRPr="00941A54">
        <w:t xml:space="preserve">šilumos kainos dedamosios antriesiems šilumos bazinės kainos galiojimo metams vienašališkai nustatytos </w:t>
      </w:r>
      <w:r w:rsidR="007D4BCD">
        <w:t>VER</w:t>
      </w:r>
      <w:r w:rsidRPr="00941A54">
        <w:t>T 2023 m. vasario 23 d. nutarimu Nr. O3E-203 „Dėl UAB Kretingos šilumos tinklų šilumos kainų dedamųjų vienašališko nustatymo“ ir pradėtos taikyti nuo 2023 m. kovo 1 d.</w:t>
      </w:r>
    </w:p>
    <w:p w14:paraId="323C7510" w14:textId="7C7F6FE2" w:rsidR="0042798D" w:rsidRPr="0042798D" w:rsidRDefault="0042798D" w:rsidP="0042798D">
      <w:pPr>
        <w:pStyle w:val="tajtip"/>
        <w:shd w:val="clear" w:color="auto" w:fill="FFFFFF"/>
        <w:spacing w:before="0" w:beforeAutospacing="0" w:after="0" w:afterAutospacing="0"/>
        <w:ind w:firstLine="720"/>
        <w:jc w:val="both"/>
        <w:rPr>
          <w:color w:val="000000"/>
        </w:rPr>
      </w:pPr>
      <w:r w:rsidRPr="0042798D">
        <w:t>Vadovaujantis Lietuvos Respublikos šilumos ūkio įstatymo 32 straipsnio 8 dali</w:t>
      </w:r>
      <w:r w:rsidR="0092631F">
        <w:t>es 1 punktu</w:t>
      </w:r>
      <w:r w:rsidRPr="0042798D">
        <w:t>,</w:t>
      </w:r>
      <w:r w:rsidRPr="0042798D">
        <w:rPr>
          <w:color w:val="000000"/>
        </w:rPr>
        <w:t xml:space="preserve"> savivaldybės taryba, vadovaudamasi VERT nustatytu šilumos pajamų baziniu lygiu ir Šilumos kainų nustatymo metodika, nustato kiekvienais metais koreguojamą šilumos pajamų metinį lygį kiekvienam šilumos tiekėjui, realizuojančiam ne mažiau kaip 10 </w:t>
      </w:r>
      <w:proofErr w:type="spellStart"/>
      <w:r w:rsidRPr="0042798D">
        <w:rPr>
          <w:color w:val="000000"/>
        </w:rPr>
        <w:t>GWh</w:t>
      </w:r>
      <w:proofErr w:type="spellEnd"/>
      <w:r w:rsidRPr="0042798D">
        <w:rPr>
          <w:color w:val="000000"/>
        </w:rPr>
        <w:t xml:space="preserve"> šilumos per metus.</w:t>
      </w:r>
    </w:p>
    <w:p w14:paraId="422F5250" w14:textId="4227CDA1" w:rsidR="00132F63" w:rsidRDefault="00837259" w:rsidP="00132F63">
      <w:pPr>
        <w:pStyle w:val="tajtip"/>
        <w:shd w:val="clear" w:color="auto" w:fill="FFFFFF"/>
        <w:spacing w:before="0" w:beforeAutospacing="0" w:after="0" w:afterAutospacing="0"/>
        <w:ind w:firstLine="720"/>
        <w:jc w:val="both"/>
        <w:rPr>
          <w:rFonts w:ascii="Arial" w:hAnsi="Arial" w:cs="Arial"/>
          <w:color w:val="000000"/>
          <w:sz w:val="22"/>
          <w:szCs w:val="22"/>
        </w:rPr>
      </w:pPr>
      <w:r w:rsidRPr="00147BAB">
        <w:t>Šilumos kainų nustatymo metodik</w:t>
      </w:r>
      <w:r w:rsidR="00132F63">
        <w:t xml:space="preserve">os 58 punkte nustatyta </w:t>
      </w:r>
      <w:r w:rsidR="00132F63" w:rsidRPr="003B248F">
        <w:rPr>
          <w:color w:val="000000"/>
        </w:rPr>
        <w:t>Koreguoto pajamų lygio nustatymo procedūra</w:t>
      </w:r>
      <w:r w:rsidR="0042798D">
        <w:rPr>
          <w:color w:val="000000"/>
        </w:rPr>
        <w:t>: š</w:t>
      </w:r>
      <w:r w:rsidR="00132F63" w:rsidRPr="003B248F">
        <w:rPr>
          <w:color w:val="000000"/>
        </w:rPr>
        <w:t xml:space="preserve">ilumos tiekėjas, vadovaudamasis </w:t>
      </w:r>
      <w:r w:rsidR="003B248F" w:rsidRPr="003B248F">
        <w:t>Šilumos kainų nustatymo metodika</w:t>
      </w:r>
      <w:r w:rsidR="00132F63" w:rsidRPr="003B248F">
        <w:rPr>
          <w:color w:val="000000"/>
        </w:rPr>
        <w:t>, ne vėliau kaip likus 3 mėnesiams iki einamojo Pajamų lygio galiojimo metų pabaigos parengia ir pateikia savivaldybės institucijai Koreguoto pajamų lygio projektą</w:t>
      </w:r>
      <w:r w:rsidR="003B248F" w:rsidRPr="003B248F">
        <w:rPr>
          <w:color w:val="000000"/>
        </w:rPr>
        <w:t>. S</w:t>
      </w:r>
      <w:r w:rsidR="003B248F" w:rsidRPr="003B248F">
        <w:rPr>
          <w:color w:val="000000"/>
          <w:shd w:val="clear" w:color="auto" w:fill="FFFFFF"/>
        </w:rPr>
        <w:t>avivaldybės taryba Koreguotą pajamų lygį nustato per 30 kalendorinių dienų</w:t>
      </w:r>
      <w:r w:rsidR="003B248F">
        <w:rPr>
          <w:rFonts w:ascii="Arial" w:hAnsi="Arial" w:cs="Arial"/>
          <w:color w:val="000000"/>
          <w:sz w:val="22"/>
          <w:szCs w:val="22"/>
          <w:shd w:val="clear" w:color="auto" w:fill="FFFFFF"/>
        </w:rPr>
        <w:t>.</w:t>
      </w:r>
      <w:r w:rsidR="00D771FF">
        <w:rPr>
          <w:rFonts w:ascii="Arial" w:hAnsi="Arial" w:cs="Arial"/>
          <w:color w:val="000000"/>
          <w:sz w:val="22"/>
          <w:szCs w:val="22"/>
          <w:shd w:val="clear" w:color="auto" w:fill="FFFFFF"/>
        </w:rPr>
        <w:t xml:space="preserve"> </w:t>
      </w:r>
      <w:r w:rsidR="00D771FF" w:rsidRPr="00D771FF">
        <w:rPr>
          <w:color w:val="000000"/>
          <w:shd w:val="clear" w:color="auto" w:fill="FFFFFF"/>
        </w:rPr>
        <w:t xml:space="preserve">Šilumos tiekėjui, realizuojančiam ne mažiau kaip 10 </w:t>
      </w:r>
      <w:proofErr w:type="spellStart"/>
      <w:r w:rsidR="00D771FF" w:rsidRPr="00D771FF">
        <w:rPr>
          <w:color w:val="000000"/>
          <w:shd w:val="clear" w:color="auto" w:fill="FFFFFF"/>
        </w:rPr>
        <w:t>GWh</w:t>
      </w:r>
      <w:proofErr w:type="spellEnd"/>
      <w:r w:rsidR="00D771FF" w:rsidRPr="00D771FF">
        <w:rPr>
          <w:color w:val="000000"/>
          <w:shd w:val="clear" w:color="auto" w:fill="FFFFFF"/>
        </w:rPr>
        <w:t xml:space="preserve"> šilumos per metus, pranešus VERT, kad savivaldybės taryba jam laiku nenustatė šilumos pajamų metinio lygio, VERT įgyja teisę vienašališkai per 30 kalendorinių dienų nuo visų tinkamai įformintų dokumentų gavimo dienos nustatyti šiam šilumos tiekėjui laikiną šilumos pajamų metinį lygį.</w:t>
      </w:r>
    </w:p>
    <w:p w14:paraId="1E93A013" w14:textId="7FA425D4" w:rsidR="00837259" w:rsidRDefault="00837259" w:rsidP="00147BAB">
      <w:pPr>
        <w:pStyle w:val="Pagrindiniotekstotrauka"/>
        <w:tabs>
          <w:tab w:val="left" w:pos="990"/>
          <w:tab w:val="left" w:pos="1260"/>
          <w:tab w:val="left" w:pos="1440"/>
          <w:tab w:val="left" w:pos="1710"/>
        </w:tabs>
        <w:rPr>
          <w:szCs w:val="24"/>
        </w:rPr>
      </w:pPr>
      <w:r w:rsidRPr="00147BAB">
        <w:rPr>
          <w:szCs w:val="24"/>
        </w:rPr>
        <w:t>UAB</w:t>
      </w:r>
      <w:r w:rsidR="004219F9" w:rsidRPr="00147BAB">
        <w:rPr>
          <w:szCs w:val="24"/>
        </w:rPr>
        <w:t xml:space="preserve"> Kretingos</w:t>
      </w:r>
      <w:r w:rsidRPr="00147BAB">
        <w:rPr>
          <w:szCs w:val="24"/>
        </w:rPr>
        <w:t xml:space="preserve"> </w:t>
      </w:r>
      <w:r w:rsidR="004219F9" w:rsidRPr="00147BAB">
        <w:rPr>
          <w:szCs w:val="24"/>
        </w:rPr>
        <w:t>š</w:t>
      </w:r>
      <w:r w:rsidRPr="00147BAB">
        <w:rPr>
          <w:szCs w:val="24"/>
        </w:rPr>
        <w:t>ilumos tinkl</w:t>
      </w:r>
      <w:r w:rsidR="004219F9" w:rsidRPr="00147BAB">
        <w:rPr>
          <w:szCs w:val="24"/>
        </w:rPr>
        <w:t>ai</w:t>
      </w:r>
      <w:r w:rsidR="00192731" w:rsidRPr="00147BAB">
        <w:rPr>
          <w:szCs w:val="24"/>
        </w:rPr>
        <w:t xml:space="preserve"> 202</w:t>
      </w:r>
      <w:r w:rsidR="003B248F">
        <w:rPr>
          <w:szCs w:val="24"/>
        </w:rPr>
        <w:t>3</w:t>
      </w:r>
      <w:r w:rsidR="00192731" w:rsidRPr="00147BAB">
        <w:rPr>
          <w:szCs w:val="24"/>
        </w:rPr>
        <w:t xml:space="preserve"> m. </w:t>
      </w:r>
      <w:r w:rsidR="003B248F">
        <w:rPr>
          <w:szCs w:val="24"/>
        </w:rPr>
        <w:t>lapkriči</w:t>
      </w:r>
      <w:r w:rsidR="00192731" w:rsidRPr="00147BAB">
        <w:rPr>
          <w:szCs w:val="24"/>
        </w:rPr>
        <w:t xml:space="preserve">o </w:t>
      </w:r>
      <w:r w:rsidR="003B248F">
        <w:rPr>
          <w:szCs w:val="24"/>
        </w:rPr>
        <w:t>2</w:t>
      </w:r>
      <w:r w:rsidR="00192731" w:rsidRPr="00147BAB">
        <w:rPr>
          <w:szCs w:val="24"/>
        </w:rPr>
        <w:t>3 d. raštu Nr. R2-</w:t>
      </w:r>
      <w:r w:rsidR="0042798D">
        <w:rPr>
          <w:szCs w:val="24"/>
        </w:rPr>
        <w:t>236</w:t>
      </w:r>
      <w:r w:rsidR="00192731" w:rsidRPr="00147BAB">
        <w:rPr>
          <w:szCs w:val="24"/>
        </w:rPr>
        <w:t xml:space="preserve"> „Dėl UAB Kretingos šilumos tinklų</w:t>
      </w:r>
      <w:r w:rsidR="0042798D">
        <w:rPr>
          <w:szCs w:val="24"/>
        </w:rPr>
        <w:t xml:space="preserve"> </w:t>
      </w:r>
      <w:r w:rsidR="0042798D" w:rsidRPr="0042798D">
        <w:rPr>
          <w:bCs/>
        </w:rPr>
        <w:t>koreguoto šilumos gamybos ir (ar) tiekimo pajamų bazinio lygio nustatymo</w:t>
      </w:r>
      <w:r w:rsidR="00192731" w:rsidRPr="00147BAB">
        <w:rPr>
          <w:szCs w:val="24"/>
        </w:rPr>
        <w:t>“</w:t>
      </w:r>
      <w:r w:rsidR="004219F9" w:rsidRPr="00147BAB">
        <w:rPr>
          <w:szCs w:val="24"/>
        </w:rPr>
        <w:t xml:space="preserve"> pateikė</w:t>
      </w:r>
      <w:r w:rsidR="0042798D">
        <w:rPr>
          <w:szCs w:val="24"/>
        </w:rPr>
        <w:t xml:space="preserve"> </w:t>
      </w:r>
      <w:r w:rsidR="0042798D" w:rsidRPr="0078466A">
        <w:rPr>
          <w:bCs/>
        </w:rPr>
        <w:t>koreguot</w:t>
      </w:r>
      <w:r w:rsidR="0042798D">
        <w:rPr>
          <w:bCs/>
        </w:rPr>
        <w:t xml:space="preserve">o </w:t>
      </w:r>
      <w:r w:rsidR="0042798D" w:rsidRPr="0078466A">
        <w:rPr>
          <w:bCs/>
        </w:rPr>
        <w:t>šilumos gamybos ir (ar) tiekimo pajamų bazinio lygio, tretiesiems šilumos bazinės kainos galiojimo metams, projekt</w:t>
      </w:r>
      <w:r w:rsidR="0042798D">
        <w:rPr>
          <w:bCs/>
        </w:rPr>
        <w:t>ą</w:t>
      </w:r>
      <w:r w:rsidRPr="00147BAB">
        <w:rPr>
          <w:szCs w:val="24"/>
        </w:rPr>
        <w:t xml:space="preserve">. </w:t>
      </w:r>
      <w:r w:rsidR="004219F9" w:rsidRPr="00147BAB">
        <w:rPr>
          <w:szCs w:val="24"/>
        </w:rPr>
        <w:t>Šiuo metu galiojanti šilumos kaina</w:t>
      </w:r>
      <w:r w:rsidR="00F646B8" w:rsidRPr="00147BAB">
        <w:rPr>
          <w:szCs w:val="24"/>
        </w:rPr>
        <w:t xml:space="preserve"> be PVM</w:t>
      </w:r>
      <w:r w:rsidR="004219F9" w:rsidRPr="00147BAB">
        <w:rPr>
          <w:szCs w:val="24"/>
        </w:rPr>
        <w:t xml:space="preserve"> –</w:t>
      </w:r>
      <w:r w:rsidR="00186D8C" w:rsidRPr="00147BAB">
        <w:rPr>
          <w:szCs w:val="24"/>
        </w:rPr>
        <w:t xml:space="preserve"> </w:t>
      </w:r>
      <w:r w:rsidR="0042798D">
        <w:rPr>
          <w:szCs w:val="24"/>
        </w:rPr>
        <w:t>9,65</w:t>
      </w:r>
      <w:r w:rsidR="00F646B8" w:rsidRPr="00147BAB">
        <w:rPr>
          <w:szCs w:val="24"/>
        </w:rPr>
        <w:t xml:space="preserve"> euro ct/kWh, p</w:t>
      </w:r>
      <w:r w:rsidRPr="00147BAB">
        <w:rPr>
          <w:szCs w:val="24"/>
        </w:rPr>
        <w:t>agal pateiktus skaičiavimus</w:t>
      </w:r>
      <w:r w:rsidR="004219F9" w:rsidRPr="00147BAB">
        <w:rPr>
          <w:szCs w:val="24"/>
        </w:rPr>
        <w:t xml:space="preserve"> lapkričio mėn.</w:t>
      </w:r>
      <w:r w:rsidRPr="00147BAB">
        <w:rPr>
          <w:szCs w:val="24"/>
        </w:rPr>
        <w:t xml:space="preserve"> šilumos projekcinė kaina be PVM </w:t>
      </w:r>
      <w:r w:rsidR="004219F9" w:rsidRPr="00147BAB">
        <w:rPr>
          <w:szCs w:val="24"/>
        </w:rPr>
        <w:t>būtų</w:t>
      </w:r>
      <w:r w:rsidRPr="00147BAB">
        <w:rPr>
          <w:szCs w:val="24"/>
        </w:rPr>
        <w:t xml:space="preserve"> </w:t>
      </w:r>
      <w:r w:rsidR="00192731" w:rsidRPr="00147BAB">
        <w:rPr>
          <w:szCs w:val="24"/>
        </w:rPr>
        <w:t>1</w:t>
      </w:r>
      <w:r w:rsidR="0042798D">
        <w:rPr>
          <w:szCs w:val="24"/>
        </w:rPr>
        <w:t>0</w:t>
      </w:r>
      <w:r w:rsidR="00192731" w:rsidRPr="00147BAB">
        <w:rPr>
          <w:szCs w:val="24"/>
        </w:rPr>
        <w:t>,</w:t>
      </w:r>
      <w:r w:rsidR="0042798D">
        <w:rPr>
          <w:szCs w:val="24"/>
        </w:rPr>
        <w:t>29</w:t>
      </w:r>
      <w:r w:rsidR="00F646B8" w:rsidRPr="00147BAB">
        <w:rPr>
          <w:szCs w:val="24"/>
        </w:rPr>
        <w:t xml:space="preserve"> euro ct/kWh</w:t>
      </w:r>
      <w:r w:rsidRPr="00147BAB">
        <w:rPr>
          <w:szCs w:val="24"/>
        </w:rPr>
        <w:t xml:space="preserve">. Bendras kainos didėjimas yra </w:t>
      </w:r>
      <w:r w:rsidR="00423A3D" w:rsidRPr="00147BAB">
        <w:rPr>
          <w:szCs w:val="24"/>
        </w:rPr>
        <w:t>0,</w:t>
      </w:r>
      <w:r w:rsidR="00F83D67">
        <w:rPr>
          <w:szCs w:val="24"/>
        </w:rPr>
        <w:t>64</w:t>
      </w:r>
      <w:r w:rsidRPr="00147BAB">
        <w:rPr>
          <w:szCs w:val="24"/>
        </w:rPr>
        <w:t xml:space="preserve"> ct/kWh arba </w:t>
      </w:r>
      <w:r w:rsidR="00F83D67">
        <w:rPr>
          <w:szCs w:val="24"/>
        </w:rPr>
        <w:t>6,63</w:t>
      </w:r>
      <w:r w:rsidRPr="00147BAB">
        <w:rPr>
          <w:szCs w:val="24"/>
        </w:rPr>
        <w:t xml:space="preserve"> proc.</w:t>
      </w:r>
    </w:p>
    <w:p w14:paraId="2FCF96E9" w14:textId="77777777" w:rsidR="00D771FF" w:rsidRDefault="00D771FF" w:rsidP="00147BAB">
      <w:pPr>
        <w:pStyle w:val="Pagrindiniotekstotrauka"/>
        <w:tabs>
          <w:tab w:val="left" w:pos="990"/>
          <w:tab w:val="left" w:pos="1260"/>
          <w:tab w:val="left" w:pos="1440"/>
          <w:tab w:val="left" w:pos="1710"/>
        </w:tabs>
        <w:rPr>
          <w:szCs w:val="24"/>
        </w:rPr>
      </w:pPr>
    </w:p>
    <w:p w14:paraId="6F65951D" w14:textId="77777777" w:rsidR="00D771FF" w:rsidRDefault="00D771FF" w:rsidP="00147BAB">
      <w:pPr>
        <w:pStyle w:val="Pagrindiniotekstotrauka"/>
        <w:tabs>
          <w:tab w:val="left" w:pos="990"/>
          <w:tab w:val="left" w:pos="1260"/>
          <w:tab w:val="left" w:pos="1440"/>
          <w:tab w:val="left" w:pos="1710"/>
        </w:tabs>
        <w:rPr>
          <w:szCs w:val="24"/>
        </w:rPr>
      </w:pPr>
    </w:p>
    <w:p w14:paraId="781EB929" w14:textId="514BCFE6" w:rsidR="00DF4893" w:rsidRPr="00974B52" w:rsidRDefault="00DF4893" w:rsidP="00974B52">
      <w:pPr>
        <w:jc w:val="center"/>
        <w:rPr>
          <w:b/>
          <w:bCs/>
        </w:rPr>
      </w:pPr>
      <w:r w:rsidRPr="00974B52">
        <w:rPr>
          <w:b/>
          <w:bCs/>
        </w:rPr>
        <w:lastRenderedPageBreak/>
        <w:t>Galiojančios bei apskaičiuotos projekcinės 2023 lapkričio mėn. šilumos kainos (be PVM) dedamosios ct/kWh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
        <w:gridCol w:w="3059"/>
        <w:gridCol w:w="1575"/>
        <w:gridCol w:w="1581"/>
        <w:gridCol w:w="1295"/>
        <w:gridCol w:w="1105"/>
      </w:tblGrid>
      <w:tr w:rsidR="00DF4893" w:rsidRPr="00DB4B45" w14:paraId="31D92A9B" w14:textId="77777777" w:rsidTr="006A1280">
        <w:trPr>
          <w:trHeight w:val="660"/>
        </w:trPr>
        <w:tc>
          <w:tcPr>
            <w:tcW w:w="778" w:type="dxa"/>
            <w:vMerge w:val="restart"/>
          </w:tcPr>
          <w:p w14:paraId="4DB243D8" w14:textId="77777777" w:rsidR="00DF4893" w:rsidRPr="00DB4B45" w:rsidRDefault="00DF4893" w:rsidP="006A1280">
            <w:pPr>
              <w:jc w:val="both"/>
              <w:rPr>
                <w:sz w:val="20"/>
                <w:szCs w:val="20"/>
              </w:rPr>
            </w:pPr>
          </w:p>
          <w:p w14:paraId="4AE18950" w14:textId="77777777" w:rsidR="00DF4893" w:rsidRPr="00DB4B45" w:rsidRDefault="00DF4893" w:rsidP="006A1280">
            <w:pPr>
              <w:jc w:val="both"/>
              <w:rPr>
                <w:sz w:val="20"/>
                <w:szCs w:val="20"/>
              </w:rPr>
            </w:pPr>
            <w:r w:rsidRPr="00DB4B45">
              <w:rPr>
                <w:sz w:val="20"/>
                <w:szCs w:val="20"/>
              </w:rPr>
              <w:t>Eil. Nr.</w:t>
            </w:r>
          </w:p>
        </w:tc>
        <w:tc>
          <w:tcPr>
            <w:tcW w:w="3293" w:type="dxa"/>
            <w:vMerge w:val="restart"/>
          </w:tcPr>
          <w:p w14:paraId="495DA5B8" w14:textId="77777777" w:rsidR="00DF4893" w:rsidRPr="00DB4B45" w:rsidRDefault="00DF4893" w:rsidP="006A1280">
            <w:pPr>
              <w:jc w:val="both"/>
              <w:rPr>
                <w:sz w:val="20"/>
                <w:szCs w:val="20"/>
              </w:rPr>
            </w:pPr>
          </w:p>
          <w:p w14:paraId="28AB4DA6" w14:textId="77777777" w:rsidR="00DF4893" w:rsidRPr="00DB4B45" w:rsidRDefault="00DF4893" w:rsidP="006A1280">
            <w:pPr>
              <w:jc w:val="both"/>
              <w:rPr>
                <w:sz w:val="20"/>
                <w:szCs w:val="20"/>
              </w:rPr>
            </w:pPr>
            <w:r w:rsidRPr="00DB4B45">
              <w:rPr>
                <w:sz w:val="20"/>
                <w:szCs w:val="20"/>
              </w:rPr>
              <w:t>Kainos dedamosios</w:t>
            </w:r>
          </w:p>
        </w:tc>
        <w:tc>
          <w:tcPr>
            <w:tcW w:w="1655" w:type="dxa"/>
            <w:vMerge w:val="restart"/>
            <w:vAlign w:val="center"/>
          </w:tcPr>
          <w:p w14:paraId="4ECEAFEC" w14:textId="77777777" w:rsidR="00DF4893" w:rsidRPr="00DB4B45" w:rsidRDefault="00DF4893" w:rsidP="006A1280">
            <w:pPr>
              <w:jc w:val="center"/>
              <w:rPr>
                <w:sz w:val="20"/>
                <w:szCs w:val="20"/>
              </w:rPr>
            </w:pPr>
            <w:r w:rsidRPr="00DB4B45">
              <w:rPr>
                <w:sz w:val="20"/>
                <w:szCs w:val="20"/>
              </w:rPr>
              <w:t>Galiojanti</w:t>
            </w:r>
          </w:p>
        </w:tc>
        <w:tc>
          <w:tcPr>
            <w:tcW w:w="1622" w:type="dxa"/>
            <w:vMerge w:val="restart"/>
          </w:tcPr>
          <w:p w14:paraId="6A3FC9AC" w14:textId="77777777" w:rsidR="00DF4893" w:rsidRPr="00DB4B45" w:rsidRDefault="00DF4893" w:rsidP="006A1280">
            <w:pPr>
              <w:jc w:val="center"/>
              <w:rPr>
                <w:sz w:val="20"/>
                <w:szCs w:val="20"/>
              </w:rPr>
            </w:pPr>
            <w:r w:rsidRPr="00DB4B45">
              <w:rPr>
                <w:sz w:val="20"/>
                <w:szCs w:val="20"/>
              </w:rPr>
              <w:t>Perskaičiuota projekcinė šilumos kaina</w:t>
            </w:r>
          </w:p>
        </w:tc>
        <w:tc>
          <w:tcPr>
            <w:tcW w:w="2533" w:type="dxa"/>
            <w:gridSpan w:val="2"/>
          </w:tcPr>
          <w:p w14:paraId="2C28BCA1" w14:textId="77777777" w:rsidR="00DF4893" w:rsidRPr="00DB4B45" w:rsidRDefault="00DF4893" w:rsidP="006A1280">
            <w:pPr>
              <w:jc w:val="center"/>
              <w:rPr>
                <w:sz w:val="20"/>
                <w:szCs w:val="20"/>
              </w:rPr>
            </w:pPr>
            <w:r w:rsidRPr="00DB4B45">
              <w:rPr>
                <w:sz w:val="20"/>
                <w:szCs w:val="20"/>
              </w:rPr>
              <w:t>Pokytis su galiojančia kaina, proc.</w:t>
            </w:r>
          </w:p>
        </w:tc>
      </w:tr>
      <w:tr w:rsidR="00DF4893" w:rsidRPr="00DB4B45" w14:paraId="2572A811" w14:textId="77777777" w:rsidTr="006A1280">
        <w:trPr>
          <w:trHeight w:val="218"/>
        </w:trPr>
        <w:tc>
          <w:tcPr>
            <w:tcW w:w="778" w:type="dxa"/>
            <w:vMerge/>
          </w:tcPr>
          <w:p w14:paraId="73444609" w14:textId="77777777" w:rsidR="00DF4893" w:rsidRPr="00DB4B45" w:rsidRDefault="00DF4893" w:rsidP="006A1280">
            <w:pPr>
              <w:jc w:val="both"/>
              <w:rPr>
                <w:sz w:val="20"/>
                <w:szCs w:val="20"/>
              </w:rPr>
            </w:pPr>
          </w:p>
        </w:tc>
        <w:tc>
          <w:tcPr>
            <w:tcW w:w="3293" w:type="dxa"/>
            <w:vMerge/>
          </w:tcPr>
          <w:p w14:paraId="1D3FBD49" w14:textId="77777777" w:rsidR="00DF4893" w:rsidRPr="00DB4B45" w:rsidRDefault="00DF4893" w:rsidP="006A1280">
            <w:pPr>
              <w:jc w:val="both"/>
              <w:rPr>
                <w:sz w:val="20"/>
                <w:szCs w:val="20"/>
              </w:rPr>
            </w:pPr>
          </w:p>
        </w:tc>
        <w:tc>
          <w:tcPr>
            <w:tcW w:w="1655" w:type="dxa"/>
            <w:vMerge/>
          </w:tcPr>
          <w:p w14:paraId="314D504B" w14:textId="77777777" w:rsidR="00DF4893" w:rsidRPr="00DB4B45" w:rsidRDefault="00DF4893" w:rsidP="006A1280">
            <w:pPr>
              <w:jc w:val="center"/>
              <w:rPr>
                <w:sz w:val="20"/>
                <w:szCs w:val="20"/>
              </w:rPr>
            </w:pPr>
          </w:p>
        </w:tc>
        <w:tc>
          <w:tcPr>
            <w:tcW w:w="1622" w:type="dxa"/>
            <w:vMerge/>
          </w:tcPr>
          <w:p w14:paraId="7E0E1E9D" w14:textId="77777777" w:rsidR="00DF4893" w:rsidRPr="00DB4B45" w:rsidRDefault="00DF4893" w:rsidP="006A1280">
            <w:pPr>
              <w:jc w:val="center"/>
              <w:rPr>
                <w:sz w:val="20"/>
                <w:szCs w:val="20"/>
              </w:rPr>
            </w:pPr>
          </w:p>
        </w:tc>
        <w:tc>
          <w:tcPr>
            <w:tcW w:w="1365" w:type="dxa"/>
          </w:tcPr>
          <w:p w14:paraId="7EB97746" w14:textId="77777777" w:rsidR="00DF4893" w:rsidRPr="00DB4B45" w:rsidRDefault="00DF4893" w:rsidP="006A1280">
            <w:pPr>
              <w:jc w:val="center"/>
              <w:rPr>
                <w:sz w:val="20"/>
                <w:szCs w:val="20"/>
              </w:rPr>
            </w:pPr>
            <w:r w:rsidRPr="00DB4B45">
              <w:rPr>
                <w:sz w:val="20"/>
                <w:szCs w:val="20"/>
              </w:rPr>
              <w:t>ct/kWh</w:t>
            </w:r>
          </w:p>
        </w:tc>
        <w:tc>
          <w:tcPr>
            <w:tcW w:w="1168" w:type="dxa"/>
          </w:tcPr>
          <w:p w14:paraId="2C21BD94" w14:textId="77777777" w:rsidR="00DF4893" w:rsidRPr="00DB4B45" w:rsidRDefault="00DF4893" w:rsidP="006A1280">
            <w:pPr>
              <w:jc w:val="center"/>
              <w:rPr>
                <w:sz w:val="20"/>
                <w:szCs w:val="20"/>
              </w:rPr>
            </w:pPr>
            <w:r w:rsidRPr="00DB4B45">
              <w:rPr>
                <w:sz w:val="20"/>
                <w:szCs w:val="20"/>
                <w:lang w:val="en-US"/>
              </w:rPr>
              <w:t>%</w:t>
            </w:r>
            <w:r w:rsidRPr="00DB4B45">
              <w:rPr>
                <w:sz w:val="20"/>
                <w:szCs w:val="20"/>
              </w:rPr>
              <w:t>.</w:t>
            </w:r>
          </w:p>
        </w:tc>
      </w:tr>
      <w:tr w:rsidR="00DF4893" w:rsidRPr="00DB4B45" w14:paraId="045D7DE4" w14:textId="77777777" w:rsidTr="006A1280">
        <w:trPr>
          <w:trHeight w:val="315"/>
        </w:trPr>
        <w:tc>
          <w:tcPr>
            <w:tcW w:w="778" w:type="dxa"/>
            <w:vAlign w:val="center"/>
          </w:tcPr>
          <w:p w14:paraId="3AA64AB9" w14:textId="77777777" w:rsidR="00DF4893" w:rsidRPr="00DB4B45" w:rsidRDefault="00DF4893" w:rsidP="006A1280">
            <w:pPr>
              <w:jc w:val="center"/>
              <w:rPr>
                <w:b/>
                <w:sz w:val="20"/>
                <w:szCs w:val="20"/>
              </w:rPr>
            </w:pPr>
            <w:r w:rsidRPr="00DB4B45">
              <w:rPr>
                <w:b/>
                <w:sz w:val="20"/>
                <w:szCs w:val="20"/>
              </w:rPr>
              <w:t>1.</w:t>
            </w:r>
          </w:p>
        </w:tc>
        <w:tc>
          <w:tcPr>
            <w:tcW w:w="3293" w:type="dxa"/>
            <w:vAlign w:val="center"/>
          </w:tcPr>
          <w:p w14:paraId="188D7E0A" w14:textId="77777777" w:rsidR="00DF4893" w:rsidRPr="00DB4B45" w:rsidRDefault="00DF4893" w:rsidP="006A1280">
            <w:pPr>
              <w:jc w:val="both"/>
              <w:rPr>
                <w:b/>
                <w:sz w:val="20"/>
                <w:szCs w:val="20"/>
              </w:rPr>
            </w:pPr>
            <w:r w:rsidRPr="00DB4B45">
              <w:rPr>
                <w:b/>
                <w:sz w:val="20"/>
                <w:szCs w:val="20"/>
              </w:rPr>
              <w:t>Šilumos kaina:</w:t>
            </w:r>
          </w:p>
        </w:tc>
        <w:tc>
          <w:tcPr>
            <w:tcW w:w="1655" w:type="dxa"/>
            <w:vAlign w:val="center"/>
          </w:tcPr>
          <w:p w14:paraId="07290F84" w14:textId="77777777" w:rsidR="00DF4893" w:rsidRPr="00DB4B45" w:rsidRDefault="00DF4893" w:rsidP="006A1280">
            <w:pPr>
              <w:jc w:val="center"/>
              <w:rPr>
                <w:b/>
                <w:sz w:val="20"/>
                <w:szCs w:val="20"/>
              </w:rPr>
            </w:pPr>
            <w:r w:rsidRPr="00DB4B45">
              <w:rPr>
                <w:b/>
                <w:sz w:val="20"/>
                <w:szCs w:val="20"/>
              </w:rPr>
              <w:t>9,65</w:t>
            </w:r>
          </w:p>
        </w:tc>
        <w:tc>
          <w:tcPr>
            <w:tcW w:w="1622" w:type="dxa"/>
            <w:vAlign w:val="center"/>
          </w:tcPr>
          <w:p w14:paraId="4D44F22D" w14:textId="77777777" w:rsidR="00DF4893" w:rsidRPr="00DB4B45" w:rsidRDefault="00DF4893" w:rsidP="006A1280">
            <w:pPr>
              <w:jc w:val="center"/>
              <w:rPr>
                <w:b/>
                <w:sz w:val="20"/>
                <w:szCs w:val="20"/>
              </w:rPr>
            </w:pPr>
            <w:r w:rsidRPr="00DB4B45">
              <w:rPr>
                <w:b/>
                <w:sz w:val="20"/>
                <w:szCs w:val="20"/>
              </w:rPr>
              <w:t>10,29</w:t>
            </w:r>
          </w:p>
        </w:tc>
        <w:tc>
          <w:tcPr>
            <w:tcW w:w="1365" w:type="dxa"/>
            <w:vAlign w:val="center"/>
          </w:tcPr>
          <w:p w14:paraId="690B7D2A" w14:textId="77777777" w:rsidR="00DF4893" w:rsidRPr="00DB4B45" w:rsidRDefault="00DF4893" w:rsidP="006A1280">
            <w:pPr>
              <w:jc w:val="center"/>
              <w:rPr>
                <w:b/>
                <w:sz w:val="20"/>
                <w:szCs w:val="20"/>
              </w:rPr>
            </w:pPr>
            <w:r w:rsidRPr="00DB4B45">
              <w:rPr>
                <w:b/>
                <w:sz w:val="20"/>
                <w:szCs w:val="20"/>
              </w:rPr>
              <w:t>0,64</w:t>
            </w:r>
          </w:p>
        </w:tc>
        <w:tc>
          <w:tcPr>
            <w:tcW w:w="1168" w:type="dxa"/>
            <w:vAlign w:val="center"/>
          </w:tcPr>
          <w:p w14:paraId="78CDA5C5" w14:textId="77777777" w:rsidR="00DF4893" w:rsidRPr="00DB4B45" w:rsidRDefault="00DF4893" w:rsidP="006A1280">
            <w:pPr>
              <w:jc w:val="center"/>
              <w:rPr>
                <w:b/>
                <w:sz w:val="20"/>
                <w:szCs w:val="20"/>
              </w:rPr>
            </w:pPr>
            <w:r w:rsidRPr="00DB4B45">
              <w:rPr>
                <w:b/>
                <w:sz w:val="20"/>
                <w:szCs w:val="20"/>
              </w:rPr>
              <w:t>6,63</w:t>
            </w:r>
          </w:p>
        </w:tc>
      </w:tr>
      <w:tr w:rsidR="00DF4893" w:rsidRPr="00DB4B45" w14:paraId="4DBF4271" w14:textId="77777777" w:rsidTr="006A1280">
        <w:trPr>
          <w:trHeight w:val="240"/>
        </w:trPr>
        <w:tc>
          <w:tcPr>
            <w:tcW w:w="778" w:type="dxa"/>
            <w:vAlign w:val="center"/>
          </w:tcPr>
          <w:p w14:paraId="11B3491B" w14:textId="77777777" w:rsidR="00DF4893" w:rsidRPr="00DB4B45" w:rsidRDefault="00DF4893" w:rsidP="006A1280">
            <w:pPr>
              <w:jc w:val="center"/>
              <w:rPr>
                <w:sz w:val="20"/>
                <w:szCs w:val="20"/>
              </w:rPr>
            </w:pPr>
            <w:r w:rsidRPr="00DB4B45">
              <w:rPr>
                <w:sz w:val="20"/>
                <w:szCs w:val="20"/>
              </w:rPr>
              <w:t>1.1.</w:t>
            </w:r>
          </w:p>
        </w:tc>
        <w:tc>
          <w:tcPr>
            <w:tcW w:w="3293" w:type="dxa"/>
            <w:vAlign w:val="center"/>
          </w:tcPr>
          <w:p w14:paraId="260849E8" w14:textId="77777777" w:rsidR="00DF4893" w:rsidRPr="00DB4B45" w:rsidRDefault="00DF4893" w:rsidP="006A1280">
            <w:pPr>
              <w:jc w:val="both"/>
              <w:rPr>
                <w:sz w:val="20"/>
                <w:szCs w:val="20"/>
              </w:rPr>
            </w:pPr>
            <w:r w:rsidRPr="00DB4B45">
              <w:rPr>
                <w:sz w:val="20"/>
                <w:szCs w:val="20"/>
              </w:rPr>
              <w:t>pastovioji dedamoji</w:t>
            </w:r>
          </w:p>
        </w:tc>
        <w:tc>
          <w:tcPr>
            <w:tcW w:w="1655" w:type="dxa"/>
            <w:vAlign w:val="center"/>
          </w:tcPr>
          <w:p w14:paraId="27080C7E" w14:textId="77777777" w:rsidR="00DF4893" w:rsidRPr="00DB4B45" w:rsidRDefault="00DF4893" w:rsidP="006A1280">
            <w:pPr>
              <w:jc w:val="center"/>
              <w:rPr>
                <w:sz w:val="20"/>
                <w:szCs w:val="20"/>
              </w:rPr>
            </w:pPr>
            <w:r w:rsidRPr="00DB4B45">
              <w:rPr>
                <w:sz w:val="20"/>
                <w:szCs w:val="20"/>
              </w:rPr>
              <w:t>4,29</w:t>
            </w:r>
          </w:p>
        </w:tc>
        <w:tc>
          <w:tcPr>
            <w:tcW w:w="1622" w:type="dxa"/>
            <w:vAlign w:val="center"/>
          </w:tcPr>
          <w:p w14:paraId="7AD414FD" w14:textId="77777777" w:rsidR="00DF4893" w:rsidRPr="00DB4B45" w:rsidRDefault="00DF4893" w:rsidP="006A1280">
            <w:pPr>
              <w:jc w:val="center"/>
              <w:rPr>
                <w:sz w:val="20"/>
                <w:szCs w:val="20"/>
              </w:rPr>
            </w:pPr>
            <w:r w:rsidRPr="00DB4B45">
              <w:rPr>
                <w:sz w:val="20"/>
                <w:szCs w:val="20"/>
              </w:rPr>
              <w:t>5,00</w:t>
            </w:r>
          </w:p>
        </w:tc>
        <w:tc>
          <w:tcPr>
            <w:tcW w:w="1365" w:type="dxa"/>
            <w:vAlign w:val="center"/>
          </w:tcPr>
          <w:p w14:paraId="3536183C" w14:textId="77777777" w:rsidR="00DF4893" w:rsidRPr="00DB4B45" w:rsidRDefault="00DF4893" w:rsidP="006A1280">
            <w:pPr>
              <w:jc w:val="center"/>
              <w:rPr>
                <w:sz w:val="20"/>
                <w:szCs w:val="20"/>
              </w:rPr>
            </w:pPr>
            <w:r w:rsidRPr="00DB4B45">
              <w:rPr>
                <w:sz w:val="20"/>
                <w:szCs w:val="20"/>
              </w:rPr>
              <w:t>0,71</w:t>
            </w:r>
          </w:p>
        </w:tc>
        <w:tc>
          <w:tcPr>
            <w:tcW w:w="1168" w:type="dxa"/>
            <w:vAlign w:val="center"/>
          </w:tcPr>
          <w:p w14:paraId="774C860B" w14:textId="77777777" w:rsidR="00DF4893" w:rsidRPr="00DB4B45" w:rsidRDefault="00DF4893" w:rsidP="006A1280">
            <w:pPr>
              <w:jc w:val="center"/>
              <w:rPr>
                <w:sz w:val="20"/>
                <w:szCs w:val="20"/>
              </w:rPr>
            </w:pPr>
            <w:r w:rsidRPr="00DB4B45">
              <w:rPr>
                <w:sz w:val="20"/>
                <w:szCs w:val="20"/>
              </w:rPr>
              <w:t>16,55</w:t>
            </w:r>
          </w:p>
        </w:tc>
      </w:tr>
      <w:tr w:rsidR="00DF4893" w:rsidRPr="00DB4B45" w14:paraId="02C43C20" w14:textId="77777777" w:rsidTr="006A1280">
        <w:trPr>
          <w:trHeight w:val="210"/>
        </w:trPr>
        <w:tc>
          <w:tcPr>
            <w:tcW w:w="778" w:type="dxa"/>
            <w:vAlign w:val="center"/>
          </w:tcPr>
          <w:p w14:paraId="3D64B900" w14:textId="77777777" w:rsidR="00DF4893" w:rsidRPr="00DB4B45" w:rsidRDefault="00DF4893" w:rsidP="006A1280">
            <w:pPr>
              <w:jc w:val="center"/>
              <w:rPr>
                <w:sz w:val="20"/>
                <w:szCs w:val="20"/>
              </w:rPr>
            </w:pPr>
            <w:r w:rsidRPr="00DB4B45">
              <w:rPr>
                <w:sz w:val="20"/>
                <w:szCs w:val="20"/>
              </w:rPr>
              <w:t>1.2.</w:t>
            </w:r>
          </w:p>
        </w:tc>
        <w:tc>
          <w:tcPr>
            <w:tcW w:w="3293" w:type="dxa"/>
            <w:vAlign w:val="center"/>
          </w:tcPr>
          <w:p w14:paraId="5C1A0792" w14:textId="77777777" w:rsidR="00DF4893" w:rsidRPr="00DB4B45" w:rsidRDefault="00DF4893" w:rsidP="006A1280">
            <w:pPr>
              <w:jc w:val="both"/>
              <w:rPr>
                <w:sz w:val="20"/>
                <w:szCs w:val="20"/>
              </w:rPr>
            </w:pPr>
            <w:r w:rsidRPr="00DB4B45">
              <w:rPr>
                <w:sz w:val="20"/>
                <w:szCs w:val="20"/>
              </w:rPr>
              <w:t>kintamoji dedamoji</w:t>
            </w:r>
          </w:p>
        </w:tc>
        <w:tc>
          <w:tcPr>
            <w:tcW w:w="1655" w:type="dxa"/>
            <w:vAlign w:val="center"/>
          </w:tcPr>
          <w:p w14:paraId="6DA14C52" w14:textId="77777777" w:rsidR="00DF4893" w:rsidRPr="00DB4B45" w:rsidRDefault="00DF4893" w:rsidP="006A1280">
            <w:pPr>
              <w:jc w:val="center"/>
              <w:rPr>
                <w:sz w:val="20"/>
                <w:szCs w:val="20"/>
              </w:rPr>
            </w:pPr>
            <w:r w:rsidRPr="00DB4B45">
              <w:rPr>
                <w:sz w:val="20"/>
                <w:szCs w:val="20"/>
              </w:rPr>
              <w:t>5,11</w:t>
            </w:r>
          </w:p>
        </w:tc>
        <w:tc>
          <w:tcPr>
            <w:tcW w:w="1622" w:type="dxa"/>
            <w:vAlign w:val="center"/>
          </w:tcPr>
          <w:p w14:paraId="5FF9CF49" w14:textId="77777777" w:rsidR="00DF4893" w:rsidRPr="00DB4B45" w:rsidRDefault="00DF4893" w:rsidP="006A1280">
            <w:pPr>
              <w:jc w:val="center"/>
              <w:rPr>
                <w:sz w:val="20"/>
                <w:szCs w:val="20"/>
              </w:rPr>
            </w:pPr>
            <w:r w:rsidRPr="00DB4B45">
              <w:rPr>
                <w:sz w:val="20"/>
                <w:szCs w:val="20"/>
              </w:rPr>
              <w:t>5,12</w:t>
            </w:r>
          </w:p>
        </w:tc>
        <w:tc>
          <w:tcPr>
            <w:tcW w:w="1365" w:type="dxa"/>
            <w:vAlign w:val="center"/>
          </w:tcPr>
          <w:p w14:paraId="0D921A22" w14:textId="77777777" w:rsidR="00DF4893" w:rsidRPr="00DB4B45" w:rsidRDefault="00DF4893" w:rsidP="006A1280">
            <w:pPr>
              <w:jc w:val="center"/>
              <w:rPr>
                <w:sz w:val="20"/>
                <w:szCs w:val="20"/>
              </w:rPr>
            </w:pPr>
            <w:r w:rsidRPr="00DB4B45">
              <w:rPr>
                <w:sz w:val="20"/>
                <w:szCs w:val="20"/>
              </w:rPr>
              <w:t>0,01</w:t>
            </w:r>
          </w:p>
        </w:tc>
        <w:tc>
          <w:tcPr>
            <w:tcW w:w="1168" w:type="dxa"/>
            <w:vAlign w:val="center"/>
          </w:tcPr>
          <w:p w14:paraId="3901526F" w14:textId="77777777" w:rsidR="00DF4893" w:rsidRPr="00DB4B45" w:rsidRDefault="00DF4893" w:rsidP="006A1280">
            <w:pPr>
              <w:jc w:val="center"/>
              <w:rPr>
                <w:sz w:val="20"/>
                <w:szCs w:val="20"/>
              </w:rPr>
            </w:pPr>
            <w:r w:rsidRPr="00DB4B45">
              <w:rPr>
                <w:sz w:val="20"/>
                <w:szCs w:val="20"/>
              </w:rPr>
              <w:t>0,20</w:t>
            </w:r>
          </w:p>
        </w:tc>
      </w:tr>
      <w:tr w:rsidR="00DF4893" w:rsidRPr="00DB4B45" w14:paraId="1D5EA770" w14:textId="77777777" w:rsidTr="006A1280">
        <w:trPr>
          <w:trHeight w:val="285"/>
        </w:trPr>
        <w:tc>
          <w:tcPr>
            <w:tcW w:w="778" w:type="dxa"/>
            <w:vAlign w:val="center"/>
          </w:tcPr>
          <w:p w14:paraId="3D435C43" w14:textId="77777777" w:rsidR="00DF4893" w:rsidRPr="00DB4B45" w:rsidRDefault="00DF4893" w:rsidP="006A1280">
            <w:pPr>
              <w:jc w:val="center"/>
              <w:rPr>
                <w:sz w:val="20"/>
                <w:szCs w:val="20"/>
              </w:rPr>
            </w:pPr>
            <w:r w:rsidRPr="00DB4B45">
              <w:rPr>
                <w:sz w:val="20"/>
                <w:szCs w:val="20"/>
              </w:rPr>
              <w:t>1.3.</w:t>
            </w:r>
          </w:p>
        </w:tc>
        <w:tc>
          <w:tcPr>
            <w:tcW w:w="3293" w:type="dxa"/>
            <w:vAlign w:val="center"/>
          </w:tcPr>
          <w:p w14:paraId="5C373881" w14:textId="77777777" w:rsidR="00DF4893" w:rsidRPr="00DB4B45" w:rsidRDefault="00DF4893" w:rsidP="006A1280">
            <w:pPr>
              <w:jc w:val="both"/>
              <w:rPr>
                <w:sz w:val="20"/>
                <w:szCs w:val="20"/>
              </w:rPr>
            </w:pPr>
            <w:r w:rsidRPr="00DB4B45">
              <w:rPr>
                <w:sz w:val="20"/>
                <w:szCs w:val="20"/>
              </w:rPr>
              <w:t>papildoma dedamoji</w:t>
            </w:r>
          </w:p>
        </w:tc>
        <w:tc>
          <w:tcPr>
            <w:tcW w:w="1655" w:type="dxa"/>
            <w:vAlign w:val="center"/>
          </w:tcPr>
          <w:p w14:paraId="4D7F8641" w14:textId="77777777" w:rsidR="00DF4893" w:rsidRPr="00DB4B45" w:rsidRDefault="00DF4893" w:rsidP="006A1280">
            <w:pPr>
              <w:jc w:val="center"/>
              <w:rPr>
                <w:sz w:val="20"/>
                <w:szCs w:val="20"/>
              </w:rPr>
            </w:pPr>
            <w:r w:rsidRPr="00DB4B45">
              <w:rPr>
                <w:sz w:val="20"/>
                <w:szCs w:val="20"/>
              </w:rPr>
              <w:t>0,25</w:t>
            </w:r>
          </w:p>
        </w:tc>
        <w:tc>
          <w:tcPr>
            <w:tcW w:w="1622" w:type="dxa"/>
            <w:vAlign w:val="center"/>
          </w:tcPr>
          <w:p w14:paraId="304E39D7" w14:textId="77777777" w:rsidR="00DF4893" w:rsidRPr="00DB4B45" w:rsidRDefault="00DF4893" w:rsidP="006A1280">
            <w:pPr>
              <w:jc w:val="center"/>
              <w:rPr>
                <w:sz w:val="20"/>
                <w:szCs w:val="20"/>
              </w:rPr>
            </w:pPr>
            <w:r w:rsidRPr="00DB4B45">
              <w:rPr>
                <w:sz w:val="20"/>
                <w:szCs w:val="20"/>
              </w:rPr>
              <w:t>0,17</w:t>
            </w:r>
          </w:p>
        </w:tc>
        <w:tc>
          <w:tcPr>
            <w:tcW w:w="1365" w:type="dxa"/>
            <w:vAlign w:val="center"/>
          </w:tcPr>
          <w:p w14:paraId="440DB8DC" w14:textId="77777777" w:rsidR="00DF4893" w:rsidRPr="00DB4B45" w:rsidRDefault="00DF4893" w:rsidP="006A1280">
            <w:pPr>
              <w:jc w:val="center"/>
              <w:rPr>
                <w:sz w:val="20"/>
                <w:szCs w:val="20"/>
              </w:rPr>
            </w:pPr>
            <w:r w:rsidRPr="00DB4B45">
              <w:rPr>
                <w:sz w:val="20"/>
                <w:szCs w:val="20"/>
              </w:rPr>
              <w:t>-0,08</w:t>
            </w:r>
          </w:p>
        </w:tc>
        <w:tc>
          <w:tcPr>
            <w:tcW w:w="1168" w:type="dxa"/>
            <w:vAlign w:val="center"/>
          </w:tcPr>
          <w:p w14:paraId="5D799BE6" w14:textId="77777777" w:rsidR="00DF4893" w:rsidRPr="00DB4B45" w:rsidRDefault="00DF4893" w:rsidP="006A1280">
            <w:pPr>
              <w:jc w:val="center"/>
              <w:rPr>
                <w:sz w:val="20"/>
                <w:szCs w:val="20"/>
              </w:rPr>
            </w:pPr>
            <w:r w:rsidRPr="00DB4B45">
              <w:rPr>
                <w:sz w:val="20"/>
                <w:szCs w:val="20"/>
              </w:rPr>
              <w:t>-32,0</w:t>
            </w:r>
          </w:p>
        </w:tc>
      </w:tr>
      <w:tr w:rsidR="00DF4893" w:rsidRPr="00DB4B45" w14:paraId="53BA695A" w14:textId="77777777" w:rsidTr="006A1280">
        <w:trPr>
          <w:trHeight w:val="285"/>
        </w:trPr>
        <w:tc>
          <w:tcPr>
            <w:tcW w:w="778" w:type="dxa"/>
            <w:vAlign w:val="center"/>
          </w:tcPr>
          <w:p w14:paraId="534A4835" w14:textId="77777777" w:rsidR="00DF4893" w:rsidRPr="00DB4B45" w:rsidRDefault="00DF4893" w:rsidP="006A1280">
            <w:pPr>
              <w:jc w:val="center"/>
              <w:rPr>
                <w:sz w:val="20"/>
                <w:szCs w:val="20"/>
              </w:rPr>
            </w:pPr>
            <w:r w:rsidRPr="00DB4B45">
              <w:rPr>
                <w:sz w:val="20"/>
                <w:szCs w:val="20"/>
              </w:rPr>
              <w:t>1.3.1.</w:t>
            </w:r>
          </w:p>
        </w:tc>
        <w:tc>
          <w:tcPr>
            <w:tcW w:w="3293" w:type="dxa"/>
            <w:vAlign w:val="center"/>
          </w:tcPr>
          <w:p w14:paraId="63C0EEE5" w14:textId="77777777" w:rsidR="00DF4893" w:rsidRPr="00DB4B45" w:rsidRDefault="00DF4893" w:rsidP="006A1280">
            <w:pPr>
              <w:jc w:val="both"/>
              <w:rPr>
                <w:i/>
                <w:iCs/>
                <w:sz w:val="20"/>
                <w:szCs w:val="20"/>
                <w:lang w:val="en-US"/>
              </w:rPr>
            </w:pPr>
            <w:r w:rsidRPr="00DB4B45">
              <w:rPr>
                <w:i/>
                <w:iCs/>
                <w:sz w:val="20"/>
                <w:szCs w:val="20"/>
              </w:rPr>
              <w:t>nustatyta 2023-02-23 VERT nutarimu Nr.O3E-203</w:t>
            </w:r>
            <w:r w:rsidRPr="00DB4B45">
              <w:rPr>
                <w:i/>
                <w:iCs/>
                <w:sz w:val="20"/>
                <w:szCs w:val="20"/>
                <w:lang w:val="en-US"/>
              </w:rPr>
              <w:t>*</w:t>
            </w:r>
          </w:p>
        </w:tc>
        <w:tc>
          <w:tcPr>
            <w:tcW w:w="1655" w:type="dxa"/>
            <w:vAlign w:val="center"/>
          </w:tcPr>
          <w:p w14:paraId="7B99B8A1" w14:textId="77777777" w:rsidR="00DF4893" w:rsidRPr="00DB4B45" w:rsidRDefault="00DF4893" w:rsidP="006A1280">
            <w:pPr>
              <w:jc w:val="center"/>
              <w:rPr>
                <w:sz w:val="20"/>
                <w:szCs w:val="20"/>
              </w:rPr>
            </w:pPr>
            <w:r w:rsidRPr="00DB4B45">
              <w:rPr>
                <w:sz w:val="20"/>
                <w:szCs w:val="20"/>
              </w:rPr>
              <w:t>0,25</w:t>
            </w:r>
          </w:p>
        </w:tc>
        <w:tc>
          <w:tcPr>
            <w:tcW w:w="1622" w:type="dxa"/>
            <w:vAlign w:val="center"/>
          </w:tcPr>
          <w:p w14:paraId="534CF8D7" w14:textId="77777777" w:rsidR="00DF4893" w:rsidRPr="00DB4B45" w:rsidRDefault="00DF4893" w:rsidP="006A1280">
            <w:pPr>
              <w:jc w:val="center"/>
              <w:rPr>
                <w:sz w:val="20"/>
                <w:szCs w:val="20"/>
              </w:rPr>
            </w:pPr>
            <w:r w:rsidRPr="00DB4B45">
              <w:rPr>
                <w:sz w:val="20"/>
                <w:szCs w:val="20"/>
              </w:rPr>
              <w:t>0,25</w:t>
            </w:r>
          </w:p>
        </w:tc>
        <w:tc>
          <w:tcPr>
            <w:tcW w:w="1365" w:type="dxa"/>
            <w:vAlign w:val="center"/>
          </w:tcPr>
          <w:p w14:paraId="4AF32FCA" w14:textId="77777777" w:rsidR="00DF4893" w:rsidRPr="00DB4B45" w:rsidRDefault="00DF4893" w:rsidP="006A1280">
            <w:pPr>
              <w:jc w:val="center"/>
              <w:rPr>
                <w:sz w:val="20"/>
                <w:szCs w:val="20"/>
              </w:rPr>
            </w:pPr>
            <w:r w:rsidRPr="00DB4B45">
              <w:rPr>
                <w:sz w:val="20"/>
                <w:szCs w:val="20"/>
              </w:rPr>
              <w:t>-</w:t>
            </w:r>
          </w:p>
        </w:tc>
        <w:tc>
          <w:tcPr>
            <w:tcW w:w="1168" w:type="dxa"/>
            <w:vAlign w:val="center"/>
          </w:tcPr>
          <w:p w14:paraId="6E7D307F" w14:textId="77777777" w:rsidR="00DF4893" w:rsidRPr="00DB4B45" w:rsidRDefault="00DF4893" w:rsidP="006A1280">
            <w:pPr>
              <w:jc w:val="center"/>
              <w:rPr>
                <w:sz w:val="20"/>
                <w:szCs w:val="20"/>
              </w:rPr>
            </w:pPr>
          </w:p>
        </w:tc>
      </w:tr>
      <w:tr w:rsidR="00DF4893" w:rsidRPr="00DB4B45" w14:paraId="34B48D14" w14:textId="77777777" w:rsidTr="006A1280">
        <w:trPr>
          <w:trHeight w:val="285"/>
        </w:trPr>
        <w:tc>
          <w:tcPr>
            <w:tcW w:w="778" w:type="dxa"/>
            <w:vAlign w:val="center"/>
          </w:tcPr>
          <w:p w14:paraId="31688D38" w14:textId="77777777" w:rsidR="00DF4893" w:rsidRPr="00DB4B45" w:rsidRDefault="00DF4893" w:rsidP="006A1280">
            <w:pPr>
              <w:jc w:val="center"/>
              <w:rPr>
                <w:sz w:val="20"/>
                <w:szCs w:val="20"/>
              </w:rPr>
            </w:pPr>
            <w:r w:rsidRPr="00DB4B45">
              <w:rPr>
                <w:sz w:val="20"/>
                <w:szCs w:val="20"/>
              </w:rPr>
              <w:t>1.3.2.</w:t>
            </w:r>
          </w:p>
        </w:tc>
        <w:tc>
          <w:tcPr>
            <w:tcW w:w="3293" w:type="dxa"/>
            <w:vAlign w:val="center"/>
          </w:tcPr>
          <w:p w14:paraId="12FE69EC" w14:textId="77777777" w:rsidR="00DF4893" w:rsidRPr="00DB4B45" w:rsidRDefault="00DF4893" w:rsidP="006A1280">
            <w:pPr>
              <w:jc w:val="both"/>
              <w:rPr>
                <w:i/>
                <w:iCs/>
                <w:sz w:val="20"/>
                <w:szCs w:val="20"/>
              </w:rPr>
            </w:pPr>
            <w:r w:rsidRPr="00DB4B45">
              <w:rPr>
                <w:i/>
                <w:iCs/>
                <w:sz w:val="20"/>
                <w:szCs w:val="20"/>
              </w:rPr>
              <w:t>apskaičiuota šio perskaičiavimo metu</w:t>
            </w:r>
          </w:p>
        </w:tc>
        <w:tc>
          <w:tcPr>
            <w:tcW w:w="1655" w:type="dxa"/>
            <w:vAlign w:val="center"/>
          </w:tcPr>
          <w:p w14:paraId="45324EA3" w14:textId="77777777" w:rsidR="00DF4893" w:rsidRPr="00DB4B45" w:rsidRDefault="00DF4893" w:rsidP="006A1280">
            <w:pPr>
              <w:jc w:val="center"/>
              <w:rPr>
                <w:sz w:val="20"/>
                <w:szCs w:val="20"/>
              </w:rPr>
            </w:pPr>
            <w:r w:rsidRPr="00DB4B45">
              <w:rPr>
                <w:sz w:val="20"/>
                <w:szCs w:val="20"/>
              </w:rPr>
              <w:t>-</w:t>
            </w:r>
          </w:p>
        </w:tc>
        <w:tc>
          <w:tcPr>
            <w:tcW w:w="1622" w:type="dxa"/>
            <w:vAlign w:val="center"/>
          </w:tcPr>
          <w:p w14:paraId="35FF9D21" w14:textId="77777777" w:rsidR="00DF4893" w:rsidRPr="00DB4B45" w:rsidRDefault="00DF4893" w:rsidP="006A1280">
            <w:pPr>
              <w:jc w:val="center"/>
              <w:rPr>
                <w:sz w:val="20"/>
                <w:szCs w:val="20"/>
              </w:rPr>
            </w:pPr>
            <w:r w:rsidRPr="00DB4B45">
              <w:rPr>
                <w:sz w:val="20"/>
                <w:szCs w:val="20"/>
              </w:rPr>
              <w:t>-0,08</w:t>
            </w:r>
          </w:p>
        </w:tc>
        <w:tc>
          <w:tcPr>
            <w:tcW w:w="1365" w:type="dxa"/>
            <w:vAlign w:val="center"/>
          </w:tcPr>
          <w:p w14:paraId="2A3BD3A1" w14:textId="77777777" w:rsidR="00DF4893" w:rsidRPr="00DB4B45" w:rsidRDefault="00DF4893" w:rsidP="006A1280">
            <w:pPr>
              <w:jc w:val="center"/>
              <w:rPr>
                <w:sz w:val="20"/>
                <w:szCs w:val="20"/>
              </w:rPr>
            </w:pPr>
            <w:r w:rsidRPr="00DB4B45">
              <w:rPr>
                <w:sz w:val="20"/>
                <w:szCs w:val="20"/>
              </w:rPr>
              <w:t>-0,08</w:t>
            </w:r>
          </w:p>
        </w:tc>
        <w:tc>
          <w:tcPr>
            <w:tcW w:w="1168" w:type="dxa"/>
            <w:vAlign w:val="center"/>
          </w:tcPr>
          <w:p w14:paraId="54329CC1" w14:textId="77777777" w:rsidR="00DF4893" w:rsidRPr="00DB4B45" w:rsidRDefault="00DF4893" w:rsidP="006A1280">
            <w:pPr>
              <w:jc w:val="center"/>
              <w:rPr>
                <w:sz w:val="20"/>
                <w:szCs w:val="20"/>
              </w:rPr>
            </w:pPr>
          </w:p>
        </w:tc>
      </w:tr>
    </w:tbl>
    <w:p w14:paraId="2B2BC1A5" w14:textId="0D950080" w:rsidR="0092631F" w:rsidRDefault="00DF4893" w:rsidP="00837259">
      <w:pPr>
        <w:pStyle w:val="Pagrindiniotekstotrauka"/>
        <w:tabs>
          <w:tab w:val="left" w:pos="990"/>
          <w:tab w:val="left" w:pos="1260"/>
          <w:tab w:val="left" w:pos="1440"/>
          <w:tab w:val="left" w:pos="1710"/>
        </w:tabs>
      </w:pPr>
      <w:r>
        <w:t>*</w:t>
      </w:r>
      <w:r w:rsidRPr="00F039C1">
        <w:rPr>
          <w:sz w:val="18"/>
          <w:szCs w:val="18"/>
        </w:rPr>
        <w:t>šių dedam</w:t>
      </w:r>
      <w:r>
        <w:rPr>
          <w:sz w:val="18"/>
          <w:szCs w:val="18"/>
        </w:rPr>
        <w:t>ųj</w:t>
      </w:r>
      <w:r w:rsidRPr="00F039C1">
        <w:rPr>
          <w:sz w:val="18"/>
          <w:szCs w:val="18"/>
        </w:rPr>
        <w:t>ų galiojimas, įsigaliojus perskaičiuotoms dedamosioms, bus pasibaig</w:t>
      </w:r>
      <w:r>
        <w:rPr>
          <w:sz w:val="18"/>
          <w:szCs w:val="18"/>
        </w:rPr>
        <w:t>ę</w:t>
      </w:r>
      <w:r w:rsidRPr="00F039C1">
        <w:rPr>
          <w:sz w:val="18"/>
          <w:szCs w:val="18"/>
        </w:rPr>
        <w:t>s.</w:t>
      </w:r>
      <w:r>
        <w:rPr>
          <w:sz w:val="18"/>
          <w:szCs w:val="18"/>
        </w:rPr>
        <w:t xml:space="preserve"> </w:t>
      </w:r>
      <w:r w:rsidRPr="00F039C1">
        <w:rPr>
          <w:sz w:val="18"/>
          <w:szCs w:val="18"/>
        </w:rPr>
        <w:t>Projekte šios dedamosios nevertinamos, tačiau šioje lentelėje nurodomos palyginimo tiks</w:t>
      </w:r>
      <w:r>
        <w:rPr>
          <w:sz w:val="18"/>
          <w:szCs w:val="18"/>
        </w:rPr>
        <w:t>l</w:t>
      </w:r>
      <w:r w:rsidRPr="00F039C1">
        <w:rPr>
          <w:sz w:val="18"/>
          <w:szCs w:val="18"/>
        </w:rPr>
        <w:t>ais.</w:t>
      </w:r>
    </w:p>
    <w:p w14:paraId="06D1F06D" w14:textId="77777777" w:rsidR="0048336A" w:rsidRDefault="0048336A" w:rsidP="00186D8C">
      <w:pPr>
        <w:jc w:val="both"/>
      </w:pPr>
    </w:p>
    <w:p w14:paraId="3F0130FB" w14:textId="5CD16B42" w:rsidR="00837259" w:rsidRPr="00AC7C2F" w:rsidRDefault="00742E6C" w:rsidP="00EC2EC5">
      <w:pPr>
        <w:pStyle w:val="Pagrindiniotekstotrauka"/>
        <w:tabs>
          <w:tab w:val="left" w:pos="990"/>
          <w:tab w:val="left" w:pos="1260"/>
          <w:tab w:val="left" w:pos="1440"/>
          <w:tab w:val="left" w:pos="1710"/>
        </w:tabs>
      </w:pPr>
      <w:r w:rsidRPr="00AC7C2F">
        <w:t>P</w:t>
      </w:r>
      <w:r w:rsidR="00837259" w:rsidRPr="00AC7C2F">
        <w:t xml:space="preserve">rojekcinė kaina </w:t>
      </w:r>
      <w:r w:rsidR="00192731">
        <w:t>10</w:t>
      </w:r>
      <w:r w:rsidR="00DF4893">
        <w:t>,29</w:t>
      </w:r>
      <w:r w:rsidR="00837259" w:rsidRPr="00AC7C2F">
        <w:t xml:space="preserve"> ct/kWh yra paskaičiuota </w:t>
      </w:r>
      <w:bookmarkStart w:id="1" w:name="_Hlk118875995"/>
      <w:r w:rsidR="00F5360E" w:rsidRPr="00134A65">
        <w:t xml:space="preserve">taikant </w:t>
      </w:r>
      <w:r w:rsidR="00E64309" w:rsidRPr="00134A65">
        <w:t>202</w:t>
      </w:r>
      <w:r w:rsidR="00DF4893" w:rsidRPr="00134A65">
        <w:t>3</w:t>
      </w:r>
      <w:r w:rsidR="00E64309" w:rsidRPr="00134A65">
        <w:t xml:space="preserve"> m. lapkričio </w:t>
      </w:r>
      <w:r w:rsidR="00837259" w:rsidRPr="00134A65">
        <w:t>mėn. kuro</w:t>
      </w:r>
      <w:r w:rsidR="00F5360E" w:rsidRPr="00134A65">
        <w:t>, elektros energijos ir vandens technologijai kainas</w:t>
      </w:r>
      <w:bookmarkEnd w:id="1"/>
      <w:r w:rsidR="00837259" w:rsidRPr="00134A65">
        <w:t>. Reali kaina, kuri bus taikoma nuo 20</w:t>
      </w:r>
      <w:r w:rsidR="00192731" w:rsidRPr="00134A65">
        <w:t>2</w:t>
      </w:r>
      <w:r w:rsidR="00DF4893" w:rsidRPr="00134A65">
        <w:t>4</w:t>
      </w:r>
      <w:r w:rsidR="00192731" w:rsidRPr="00134A65">
        <w:t xml:space="preserve"> m. </w:t>
      </w:r>
      <w:r w:rsidR="00974B52" w:rsidRPr="00134A65">
        <w:t>kovo</w:t>
      </w:r>
      <w:r w:rsidR="00192731" w:rsidRPr="00134A65">
        <w:t xml:space="preserve"> 1 d.</w:t>
      </w:r>
      <w:r w:rsidR="00186D8C" w:rsidRPr="00134A65">
        <w:t>,</w:t>
      </w:r>
      <w:r w:rsidR="00837259" w:rsidRPr="00134A65">
        <w:t xml:space="preserve"> gali kisti, priklausomai nuo perkamo kuro</w:t>
      </w:r>
      <w:r w:rsidR="00F5360E" w:rsidRPr="00134A65">
        <w:t>,</w:t>
      </w:r>
      <w:r w:rsidR="00837259" w:rsidRPr="00134A65">
        <w:t xml:space="preserve"> </w:t>
      </w:r>
      <w:r w:rsidR="00F5360E" w:rsidRPr="00134A65">
        <w:t xml:space="preserve">elektros energijos ir vandens technologijai </w:t>
      </w:r>
      <w:r w:rsidR="00837259" w:rsidRPr="00134A65">
        <w:t>kain</w:t>
      </w:r>
      <w:r w:rsidR="00F5360E" w:rsidRPr="00134A65">
        <w:t>ų kitimo</w:t>
      </w:r>
      <w:r w:rsidR="00837259" w:rsidRPr="00134A65">
        <w:t>.</w:t>
      </w:r>
    </w:p>
    <w:p w14:paraId="2BC0ED8B" w14:textId="77777777" w:rsidR="00742E6C" w:rsidRPr="00560310" w:rsidRDefault="00742E6C" w:rsidP="00560310">
      <w:pPr>
        <w:ind w:firstLine="720"/>
        <w:jc w:val="both"/>
      </w:pPr>
      <w:r w:rsidRPr="00AC7C2F">
        <w:t xml:space="preserve">Kainos </w:t>
      </w:r>
      <w:r w:rsidRPr="00560310">
        <w:t>pokyčio priežastys:</w:t>
      </w:r>
    </w:p>
    <w:p w14:paraId="2365B79A" w14:textId="733B700F" w:rsidR="00560310" w:rsidRPr="00BC4987" w:rsidRDefault="00560310" w:rsidP="00560310">
      <w:pPr>
        <w:pStyle w:val="pf0"/>
        <w:spacing w:before="0" w:beforeAutospacing="0" w:after="0" w:afterAutospacing="0"/>
        <w:ind w:firstLine="720"/>
        <w:jc w:val="both"/>
      </w:pPr>
      <w:r>
        <w:t xml:space="preserve">- </w:t>
      </w:r>
      <w:r w:rsidR="00742E6C" w:rsidRPr="00560310">
        <w:t>dėl pastoviosios dedamosios kaina didėja 0,</w:t>
      </w:r>
      <w:r w:rsidR="00DF4893">
        <w:t>71</w:t>
      </w:r>
      <w:r w:rsidR="00742E6C" w:rsidRPr="00560310">
        <w:t xml:space="preserve"> ct/kWh (didėja </w:t>
      </w:r>
      <w:r w:rsidR="00D817DF" w:rsidRPr="00BC4987">
        <w:t>0,</w:t>
      </w:r>
      <w:r w:rsidR="0082353E" w:rsidRPr="00BC4987">
        <w:t>03</w:t>
      </w:r>
      <w:r w:rsidR="00D817DF" w:rsidRPr="00560310">
        <w:t xml:space="preserve"> ct/kWh</w:t>
      </w:r>
      <w:r w:rsidR="007B3A27" w:rsidRPr="00560310">
        <w:t xml:space="preserve"> dėl infliacijos</w:t>
      </w:r>
      <w:r w:rsidR="0048336A" w:rsidRPr="00560310">
        <w:t>;</w:t>
      </w:r>
      <w:r w:rsidR="00D817DF" w:rsidRPr="00560310">
        <w:t xml:space="preserve"> </w:t>
      </w:r>
      <w:r w:rsidR="00557525">
        <w:rPr>
          <w:rStyle w:val="cf01"/>
          <w:rFonts w:ascii="Times New Roman" w:hAnsi="Times New Roman" w:cs="Times New Roman"/>
          <w:sz w:val="24"/>
          <w:szCs w:val="24"/>
        </w:rPr>
        <w:t>didėja</w:t>
      </w:r>
      <w:r w:rsidR="007B3A27" w:rsidRPr="00560310">
        <w:rPr>
          <w:rStyle w:val="cf01"/>
          <w:rFonts w:ascii="Times New Roman" w:hAnsi="Times New Roman" w:cs="Times New Roman"/>
          <w:sz w:val="24"/>
          <w:szCs w:val="24"/>
        </w:rPr>
        <w:t xml:space="preserve"> </w:t>
      </w:r>
      <w:r w:rsidR="007B3A27" w:rsidRPr="00BC4987">
        <w:rPr>
          <w:rStyle w:val="cf01"/>
          <w:rFonts w:ascii="Times New Roman" w:hAnsi="Times New Roman" w:cs="Times New Roman"/>
          <w:sz w:val="24"/>
          <w:szCs w:val="24"/>
        </w:rPr>
        <w:t>0,</w:t>
      </w:r>
      <w:r w:rsidR="0082353E" w:rsidRPr="00BC4987">
        <w:rPr>
          <w:rStyle w:val="cf01"/>
          <w:rFonts w:ascii="Times New Roman" w:hAnsi="Times New Roman" w:cs="Times New Roman"/>
          <w:sz w:val="24"/>
          <w:szCs w:val="24"/>
        </w:rPr>
        <w:t xml:space="preserve">34 </w:t>
      </w:r>
      <w:r w:rsidR="007B3A27" w:rsidRPr="00BC4987">
        <w:rPr>
          <w:rStyle w:val="cf01"/>
          <w:rFonts w:ascii="Times New Roman" w:hAnsi="Times New Roman" w:cs="Times New Roman"/>
          <w:sz w:val="24"/>
          <w:szCs w:val="24"/>
        </w:rPr>
        <w:t xml:space="preserve">ct/kWh dėl </w:t>
      </w:r>
      <w:r w:rsidR="007D7764" w:rsidRPr="00BC4987">
        <w:rPr>
          <w:rStyle w:val="cf01"/>
          <w:rFonts w:ascii="Times New Roman" w:hAnsi="Times New Roman" w:cs="Times New Roman"/>
          <w:sz w:val="24"/>
          <w:szCs w:val="24"/>
        </w:rPr>
        <w:t>mažesnio</w:t>
      </w:r>
      <w:r w:rsidR="007B3A27" w:rsidRPr="00BC4987">
        <w:rPr>
          <w:rStyle w:val="cf01"/>
          <w:rFonts w:ascii="Times New Roman" w:hAnsi="Times New Roman" w:cs="Times New Roman"/>
          <w:sz w:val="24"/>
          <w:szCs w:val="24"/>
        </w:rPr>
        <w:t>, nei įvertinta</w:t>
      </w:r>
      <w:r w:rsidR="00557525" w:rsidRPr="00BC4987">
        <w:rPr>
          <w:rStyle w:val="cf01"/>
          <w:rFonts w:ascii="Times New Roman" w:hAnsi="Times New Roman" w:cs="Times New Roman"/>
          <w:sz w:val="24"/>
          <w:szCs w:val="24"/>
        </w:rPr>
        <w:t>s</w:t>
      </w:r>
      <w:r w:rsidR="007B3A27" w:rsidRPr="00BC4987">
        <w:rPr>
          <w:rStyle w:val="cf01"/>
          <w:rFonts w:ascii="Times New Roman" w:hAnsi="Times New Roman" w:cs="Times New Roman"/>
          <w:sz w:val="24"/>
          <w:szCs w:val="24"/>
        </w:rPr>
        <w:t xml:space="preserve"> bazinėje šilumos kainoje, ataskaitini</w:t>
      </w:r>
      <w:r w:rsidR="00557525" w:rsidRPr="00BC4987">
        <w:rPr>
          <w:rStyle w:val="cf01"/>
          <w:rFonts w:ascii="Times New Roman" w:hAnsi="Times New Roman" w:cs="Times New Roman"/>
          <w:sz w:val="24"/>
          <w:szCs w:val="24"/>
        </w:rPr>
        <w:t>u</w:t>
      </w:r>
      <w:r w:rsidR="007B3A27" w:rsidRPr="00BC4987">
        <w:rPr>
          <w:rStyle w:val="cf01"/>
          <w:rFonts w:ascii="Times New Roman" w:hAnsi="Times New Roman" w:cs="Times New Roman"/>
          <w:sz w:val="24"/>
          <w:szCs w:val="24"/>
        </w:rPr>
        <w:t xml:space="preserve"> laikotarpi</w:t>
      </w:r>
      <w:r w:rsidR="00557525" w:rsidRPr="00BC4987">
        <w:rPr>
          <w:rStyle w:val="cf01"/>
          <w:rFonts w:ascii="Times New Roman" w:hAnsi="Times New Roman" w:cs="Times New Roman"/>
          <w:sz w:val="24"/>
          <w:szCs w:val="24"/>
        </w:rPr>
        <w:t>u</w:t>
      </w:r>
      <w:r w:rsidR="007B3A27" w:rsidRPr="00BC4987">
        <w:rPr>
          <w:rStyle w:val="cf01"/>
          <w:rFonts w:ascii="Times New Roman" w:hAnsi="Times New Roman" w:cs="Times New Roman"/>
          <w:sz w:val="24"/>
          <w:szCs w:val="24"/>
        </w:rPr>
        <w:t xml:space="preserve"> realiz</w:t>
      </w:r>
      <w:r w:rsidR="00557525" w:rsidRPr="00BC4987">
        <w:rPr>
          <w:rStyle w:val="cf01"/>
          <w:rFonts w:ascii="Times New Roman" w:hAnsi="Times New Roman" w:cs="Times New Roman"/>
          <w:sz w:val="24"/>
          <w:szCs w:val="24"/>
        </w:rPr>
        <w:t>uoto šilumos kiekio</w:t>
      </w:r>
      <w:r w:rsidR="007B3A27" w:rsidRPr="00BC4987">
        <w:rPr>
          <w:rStyle w:val="cf01"/>
          <w:rFonts w:ascii="Times New Roman" w:hAnsi="Times New Roman" w:cs="Times New Roman"/>
          <w:sz w:val="24"/>
          <w:szCs w:val="24"/>
        </w:rPr>
        <w:t>;</w:t>
      </w:r>
      <w:r w:rsidR="007B3A27" w:rsidRPr="00BC4987">
        <w:t xml:space="preserve"> </w:t>
      </w:r>
      <w:r w:rsidR="007B3A27" w:rsidRPr="00BC4987">
        <w:rPr>
          <w:rStyle w:val="cf01"/>
          <w:rFonts w:ascii="Times New Roman" w:hAnsi="Times New Roman" w:cs="Times New Roman"/>
          <w:sz w:val="24"/>
          <w:szCs w:val="24"/>
        </w:rPr>
        <w:t>mažėja 0,</w:t>
      </w:r>
      <w:r w:rsidR="003D2B9C" w:rsidRPr="00BC4987">
        <w:rPr>
          <w:rStyle w:val="cf01"/>
          <w:rFonts w:ascii="Times New Roman" w:hAnsi="Times New Roman" w:cs="Times New Roman"/>
          <w:sz w:val="24"/>
          <w:szCs w:val="24"/>
        </w:rPr>
        <w:t>0</w:t>
      </w:r>
      <w:r w:rsidR="0082353E" w:rsidRPr="00BC4987">
        <w:rPr>
          <w:rStyle w:val="cf01"/>
          <w:rFonts w:ascii="Times New Roman" w:hAnsi="Times New Roman" w:cs="Times New Roman"/>
          <w:sz w:val="24"/>
          <w:szCs w:val="24"/>
        </w:rPr>
        <w:t>4</w:t>
      </w:r>
      <w:r w:rsidR="007B3A27" w:rsidRPr="00BC4987">
        <w:rPr>
          <w:rStyle w:val="cf01"/>
          <w:rFonts w:ascii="Times New Roman" w:hAnsi="Times New Roman" w:cs="Times New Roman"/>
          <w:sz w:val="24"/>
          <w:szCs w:val="24"/>
        </w:rPr>
        <w:t xml:space="preserve"> ct/kWh dėl nusidėvėjimo (amortizacijos) sąnaudų</w:t>
      </w:r>
      <w:r w:rsidR="005C3477" w:rsidRPr="00BC4987">
        <w:t xml:space="preserve">; </w:t>
      </w:r>
      <w:r w:rsidR="007B3A27" w:rsidRPr="00BC4987">
        <w:rPr>
          <w:rStyle w:val="cf01"/>
          <w:rFonts w:ascii="Times New Roman" w:hAnsi="Times New Roman" w:cs="Times New Roman"/>
          <w:sz w:val="24"/>
          <w:szCs w:val="24"/>
        </w:rPr>
        <w:t>didėja 0,</w:t>
      </w:r>
      <w:r w:rsidR="0082353E" w:rsidRPr="00BC4987">
        <w:rPr>
          <w:rStyle w:val="cf01"/>
          <w:rFonts w:ascii="Times New Roman" w:hAnsi="Times New Roman" w:cs="Times New Roman"/>
          <w:sz w:val="24"/>
          <w:szCs w:val="24"/>
        </w:rPr>
        <w:t>16</w:t>
      </w:r>
      <w:r w:rsidR="007B3A27" w:rsidRPr="00BC4987">
        <w:rPr>
          <w:rStyle w:val="cf01"/>
          <w:rFonts w:ascii="Times New Roman" w:hAnsi="Times New Roman" w:cs="Times New Roman"/>
          <w:sz w:val="24"/>
          <w:szCs w:val="24"/>
        </w:rPr>
        <w:t xml:space="preserve"> ct/kWh dėl </w:t>
      </w:r>
      <w:r w:rsidR="00AE5FB6" w:rsidRPr="00BC4987">
        <w:rPr>
          <w:rStyle w:val="cf01"/>
          <w:rFonts w:ascii="Times New Roman" w:hAnsi="Times New Roman" w:cs="Times New Roman"/>
          <w:sz w:val="24"/>
          <w:szCs w:val="24"/>
        </w:rPr>
        <w:t>investicijų grąžos normos</w:t>
      </w:r>
      <w:r w:rsidR="007B3A27" w:rsidRPr="00BC4987">
        <w:rPr>
          <w:rStyle w:val="cf01"/>
          <w:rFonts w:ascii="Times New Roman" w:hAnsi="Times New Roman" w:cs="Times New Roman"/>
          <w:sz w:val="24"/>
          <w:szCs w:val="24"/>
        </w:rPr>
        <w:t xml:space="preserve"> pokyčio; </w:t>
      </w:r>
      <w:r w:rsidR="003D2B9C" w:rsidRPr="00BC4987">
        <w:rPr>
          <w:rStyle w:val="cf01"/>
          <w:rFonts w:ascii="Times New Roman" w:hAnsi="Times New Roman" w:cs="Times New Roman"/>
          <w:sz w:val="24"/>
          <w:szCs w:val="24"/>
        </w:rPr>
        <w:t>didėja 0,0</w:t>
      </w:r>
      <w:r w:rsidR="0082353E" w:rsidRPr="00BC4987">
        <w:rPr>
          <w:rStyle w:val="cf01"/>
          <w:rFonts w:ascii="Times New Roman" w:hAnsi="Times New Roman" w:cs="Times New Roman"/>
          <w:sz w:val="24"/>
          <w:szCs w:val="24"/>
        </w:rPr>
        <w:t>4</w:t>
      </w:r>
      <w:r w:rsidR="003D2B9C" w:rsidRPr="00BC4987">
        <w:rPr>
          <w:rStyle w:val="cf01"/>
          <w:rFonts w:ascii="Times New Roman" w:hAnsi="Times New Roman" w:cs="Times New Roman"/>
          <w:sz w:val="24"/>
          <w:szCs w:val="24"/>
        </w:rPr>
        <w:t xml:space="preserve"> ct/kWh </w:t>
      </w:r>
      <w:r w:rsidR="003D2B9C" w:rsidRPr="00BC4987">
        <w:rPr>
          <w:bCs/>
          <w:iCs/>
          <w:shd w:val="clear" w:color="auto" w:fill="FFFFFF"/>
        </w:rPr>
        <w:t>dėl atliktų investicijų, nenaudojamo ir nusidėvėjusio turto bei mažmeninio aptarnavimo verslo vieneto investicijų grąžos pokyčio</w:t>
      </w:r>
      <w:r w:rsidR="003D2B9C" w:rsidRPr="00BC4987">
        <w:rPr>
          <w:rStyle w:val="cf01"/>
          <w:rFonts w:ascii="Times New Roman" w:hAnsi="Times New Roman" w:cs="Times New Roman"/>
          <w:sz w:val="24"/>
          <w:szCs w:val="24"/>
        </w:rPr>
        <w:t xml:space="preserve">; </w:t>
      </w:r>
      <w:r w:rsidR="007B3A27" w:rsidRPr="00BC4987">
        <w:rPr>
          <w:rStyle w:val="cf01"/>
          <w:rFonts w:ascii="Times New Roman" w:hAnsi="Times New Roman" w:cs="Times New Roman"/>
          <w:sz w:val="24"/>
          <w:szCs w:val="24"/>
        </w:rPr>
        <w:t>didėja 0</w:t>
      </w:r>
      <w:r w:rsidR="003D2B9C" w:rsidRPr="00BC4987">
        <w:rPr>
          <w:rStyle w:val="cf01"/>
          <w:rFonts w:ascii="Times New Roman" w:hAnsi="Times New Roman" w:cs="Times New Roman"/>
          <w:sz w:val="24"/>
          <w:szCs w:val="24"/>
        </w:rPr>
        <w:t>,</w:t>
      </w:r>
      <w:r w:rsidR="0082353E" w:rsidRPr="00BC4987">
        <w:rPr>
          <w:rStyle w:val="cf01"/>
          <w:rFonts w:ascii="Times New Roman" w:hAnsi="Times New Roman" w:cs="Times New Roman"/>
          <w:sz w:val="24"/>
          <w:szCs w:val="24"/>
        </w:rPr>
        <w:t>18</w:t>
      </w:r>
      <w:r w:rsidR="007B3A27" w:rsidRPr="00BC4987">
        <w:rPr>
          <w:rStyle w:val="cf01"/>
          <w:rFonts w:ascii="Times New Roman" w:hAnsi="Times New Roman" w:cs="Times New Roman"/>
          <w:sz w:val="24"/>
          <w:szCs w:val="24"/>
        </w:rPr>
        <w:t xml:space="preserve"> ct/kWh dėl planuojamo darbo užmokesčio pokyčio</w:t>
      </w:r>
      <w:r w:rsidRPr="00BC4987">
        <w:rPr>
          <w:rStyle w:val="cf01"/>
          <w:rFonts w:ascii="Times New Roman" w:hAnsi="Times New Roman" w:cs="Times New Roman"/>
          <w:bCs/>
          <w:iCs/>
          <w:sz w:val="24"/>
          <w:szCs w:val="24"/>
        </w:rPr>
        <w:t>);</w:t>
      </w:r>
    </w:p>
    <w:p w14:paraId="10415B13" w14:textId="743D97A5" w:rsidR="00450F63" w:rsidRPr="00BC4987" w:rsidRDefault="00560310" w:rsidP="00FC3406">
      <w:pPr>
        <w:pStyle w:val="pf0"/>
        <w:spacing w:before="0" w:beforeAutospacing="0" w:after="0" w:afterAutospacing="0"/>
        <w:ind w:firstLine="720"/>
        <w:jc w:val="both"/>
      </w:pPr>
      <w:r w:rsidRPr="00BC4987">
        <w:t xml:space="preserve">- </w:t>
      </w:r>
      <w:r w:rsidR="00742E6C" w:rsidRPr="00BC4987">
        <w:t>dėl kintamosios dedamosios kaina didėja 0,</w:t>
      </w:r>
      <w:r w:rsidR="00F8777B" w:rsidRPr="00BC4987">
        <w:t>0</w:t>
      </w:r>
      <w:r w:rsidR="0048336A" w:rsidRPr="00BC4987">
        <w:t>1</w:t>
      </w:r>
      <w:r w:rsidR="00742E6C" w:rsidRPr="00BC4987">
        <w:t xml:space="preserve"> ct/kWh (</w:t>
      </w:r>
      <w:r w:rsidR="00DE48C5" w:rsidRPr="00BC4987">
        <w:t>dedamoji didėja šilumos perdavimo veikloje, dėl padidėjusios šilumos gamybos kainos pastoviosios dedamosios</w:t>
      </w:r>
      <w:r w:rsidRPr="00BC4987">
        <w:rPr>
          <w:rStyle w:val="cf01"/>
          <w:rFonts w:ascii="Times New Roman" w:hAnsi="Times New Roman" w:cs="Times New Roman"/>
          <w:sz w:val="24"/>
          <w:szCs w:val="24"/>
        </w:rPr>
        <w:t>);</w:t>
      </w:r>
    </w:p>
    <w:p w14:paraId="364FB05C" w14:textId="574C4188" w:rsidR="00450F63" w:rsidRPr="00AC7C2F" w:rsidRDefault="00F11583" w:rsidP="00560310">
      <w:pPr>
        <w:ind w:firstLine="720"/>
        <w:jc w:val="both"/>
      </w:pPr>
      <w:r w:rsidRPr="00BC4987">
        <w:t xml:space="preserve">- </w:t>
      </w:r>
      <w:r w:rsidR="00742E6C" w:rsidRPr="00BC4987">
        <w:t xml:space="preserve">dėl papildomos dedamosios kaina </w:t>
      </w:r>
      <w:r w:rsidR="00F8777B" w:rsidRPr="00BC4987">
        <w:t>mažėja</w:t>
      </w:r>
      <w:r w:rsidR="00742E6C" w:rsidRPr="00BC4987">
        <w:t xml:space="preserve"> 0,</w:t>
      </w:r>
      <w:r w:rsidR="00F8777B" w:rsidRPr="00BC4987">
        <w:t>08</w:t>
      </w:r>
      <w:r w:rsidR="00742E6C" w:rsidRPr="00BC4987">
        <w:t xml:space="preserve"> ct/kWh</w:t>
      </w:r>
      <w:r w:rsidR="00F86FC2" w:rsidRPr="00BC4987">
        <w:t xml:space="preserve"> (</w:t>
      </w:r>
      <w:r w:rsidRPr="00BC4987">
        <w:t xml:space="preserve">dėl per </w:t>
      </w:r>
      <w:r w:rsidRPr="00BC4987">
        <w:rPr>
          <w:bCs/>
          <w:iCs/>
        </w:rPr>
        <w:t>202</w:t>
      </w:r>
      <w:r w:rsidR="003D2B9C" w:rsidRPr="00BC4987">
        <w:rPr>
          <w:bCs/>
          <w:iCs/>
        </w:rPr>
        <w:t>2</w:t>
      </w:r>
      <w:r w:rsidRPr="00BC4987">
        <w:rPr>
          <w:bCs/>
          <w:iCs/>
        </w:rPr>
        <w:t xml:space="preserve"> m. sausio 1 d. </w:t>
      </w:r>
      <w:r w:rsidR="00186D8C" w:rsidRPr="00BC4987">
        <w:rPr>
          <w:bCs/>
          <w:iCs/>
        </w:rPr>
        <w:t>–</w:t>
      </w:r>
      <w:r w:rsidRPr="00BC4987">
        <w:rPr>
          <w:bCs/>
          <w:iCs/>
        </w:rPr>
        <w:t xml:space="preserve"> 202</w:t>
      </w:r>
      <w:r w:rsidR="003D2B9C" w:rsidRPr="00BC4987">
        <w:rPr>
          <w:bCs/>
          <w:iCs/>
        </w:rPr>
        <w:t>2</w:t>
      </w:r>
      <w:r w:rsidR="00186D8C" w:rsidRPr="00BC4987">
        <w:rPr>
          <w:bCs/>
          <w:iCs/>
        </w:rPr>
        <w:t> </w:t>
      </w:r>
      <w:r w:rsidRPr="00BC4987">
        <w:rPr>
          <w:bCs/>
          <w:iCs/>
        </w:rPr>
        <w:t>m. gruodžio 31 d.</w:t>
      </w:r>
      <w:r w:rsidR="006C0697" w:rsidRPr="00BC4987">
        <w:rPr>
          <w:bCs/>
          <w:iCs/>
        </w:rPr>
        <w:t xml:space="preserve"> laikotarpį papildomai gautų pajamų už kurą</w:t>
      </w:r>
      <w:r w:rsidR="00F86FC2" w:rsidRPr="00BC4987">
        <w:t>)</w:t>
      </w:r>
      <w:r w:rsidR="00742E6C" w:rsidRPr="00BC4987">
        <w:t>.</w:t>
      </w:r>
    </w:p>
    <w:p w14:paraId="31548246" w14:textId="3A24AD59" w:rsidR="00147BAB" w:rsidRPr="00DF4893" w:rsidRDefault="00147BAB" w:rsidP="0092631F">
      <w:pPr>
        <w:pStyle w:val="Sraopastraipa"/>
        <w:spacing w:after="0" w:line="240" w:lineRule="auto"/>
        <w:ind w:left="0" w:firstLine="720"/>
        <w:jc w:val="both"/>
        <w:rPr>
          <w:rFonts w:ascii="Times New Roman" w:hAnsi="Times New Roman"/>
          <w:b/>
          <w:sz w:val="24"/>
          <w:szCs w:val="24"/>
          <w:lang w:val="lt-LT"/>
        </w:rPr>
      </w:pPr>
      <w:r w:rsidRPr="0092631F">
        <w:rPr>
          <w:rFonts w:ascii="Times New Roman" w:hAnsi="Times New Roman"/>
          <w:b/>
          <w:sz w:val="24"/>
          <w:szCs w:val="24"/>
        </w:rPr>
        <w:t xml:space="preserve">3. </w:t>
      </w:r>
      <w:r w:rsidRPr="00DF4893">
        <w:rPr>
          <w:rFonts w:ascii="Times New Roman" w:hAnsi="Times New Roman"/>
          <w:b/>
          <w:sz w:val="24"/>
          <w:szCs w:val="24"/>
          <w:lang w:val="lt-LT"/>
        </w:rPr>
        <w:t>Kokių rezultatų laukiama.</w:t>
      </w:r>
    </w:p>
    <w:p w14:paraId="1E23310B" w14:textId="1C99F396" w:rsidR="00147BAB" w:rsidRPr="00DF4893" w:rsidRDefault="00DF4893" w:rsidP="0092631F">
      <w:pPr>
        <w:pStyle w:val="Sraopastraipa"/>
        <w:spacing w:after="0" w:line="240" w:lineRule="auto"/>
        <w:ind w:left="0" w:firstLine="720"/>
        <w:jc w:val="both"/>
        <w:rPr>
          <w:rFonts w:ascii="Times New Roman" w:hAnsi="Times New Roman"/>
          <w:b/>
          <w:sz w:val="28"/>
          <w:szCs w:val="28"/>
          <w:lang w:val="lt-LT"/>
        </w:rPr>
      </w:pPr>
      <w:r w:rsidRPr="00DF4893">
        <w:rPr>
          <w:rFonts w:ascii="Times New Roman" w:hAnsi="Times New Roman"/>
          <w:sz w:val="24"/>
          <w:szCs w:val="24"/>
          <w:lang w:val="lt-LT"/>
        </w:rPr>
        <w:t xml:space="preserve">Nustatytas nuo </w:t>
      </w:r>
      <w:r w:rsidRPr="00134A65">
        <w:rPr>
          <w:rFonts w:ascii="Times New Roman" w:hAnsi="Times New Roman"/>
          <w:sz w:val="24"/>
          <w:szCs w:val="24"/>
          <w:lang w:val="lt-LT"/>
        </w:rPr>
        <w:t xml:space="preserve">2024 m. </w:t>
      </w:r>
      <w:r w:rsidR="00BC4987" w:rsidRPr="00134A65">
        <w:rPr>
          <w:rFonts w:ascii="Times New Roman" w:hAnsi="Times New Roman"/>
          <w:sz w:val="24"/>
          <w:szCs w:val="24"/>
          <w:lang w:val="lt-LT"/>
        </w:rPr>
        <w:t>kovo</w:t>
      </w:r>
      <w:r w:rsidRPr="00134A65">
        <w:rPr>
          <w:rFonts w:ascii="Times New Roman" w:hAnsi="Times New Roman"/>
          <w:sz w:val="24"/>
          <w:szCs w:val="24"/>
          <w:lang w:val="lt-LT"/>
        </w:rPr>
        <w:t xml:space="preserve"> 1 d.</w:t>
      </w:r>
      <w:r w:rsidRPr="00DF4893">
        <w:rPr>
          <w:rFonts w:ascii="Times New Roman" w:hAnsi="Times New Roman"/>
          <w:sz w:val="24"/>
          <w:szCs w:val="24"/>
          <w:lang w:val="lt-LT"/>
        </w:rPr>
        <w:t xml:space="preserve"> tretiesiems šilumos bazinės kainos galiojimo metams koreguot</w:t>
      </w:r>
      <w:r w:rsidR="00974B52">
        <w:rPr>
          <w:rFonts w:ascii="Times New Roman" w:hAnsi="Times New Roman"/>
          <w:sz w:val="24"/>
          <w:szCs w:val="24"/>
          <w:lang w:val="lt-LT"/>
        </w:rPr>
        <w:t>as</w:t>
      </w:r>
      <w:r w:rsidRPr="00DF4893">
        <w:rPr>
          <w:rFonts w:ascii="Times New Roman" w:hAnsi="Times New Roman"/>
          <w:sz w:val="24"/>
          <w:szCs w:val="24"/>
          <w:lang w:val="lt-LT"/>
        </w:rPr>
        <w:t xml:space="preserve"> šilumos gamybos ir (ar) tiekimo pajamų bazin</w:t>
      </w:r>
      <w:r w:rsidR="00974B52">
        <w:rPr>
          <w:rFonts w:ascii="Times New Roman" w:hAnsi="Times New Roman"/>
          <w:sz w:val="24"/>
          <w:szCs w:val="24"/>
          <w:lang w:val="lt-LT"/>
        </w:rPr>
        <w:t>is</w:t>
      </w:r>
      <w:r w:rsidRPr="00DF4893">
        <w:rPr>
          <w:rFonts w:ascii="Times New Roman" w:hAnsi="Times New Roman"/>
          <w:sz w:val="24"/>
          <w:szCs w:val="24"/>
          <w:lang w:val="lt-LT"/>
        </w:rPr>
        <w:t xml:space="preserve"> lygis.</w:t>
      </w:r>
    </w:p>
    <w:p w14:paraId="6CEDAB7F" w14:textId="77777777" w:rsidR="00DF4893" w:rsidRPr="00DF4893" w:rsidRDefault="00147BAB" w:rsidP="0092631F">
      <w:pPr>
        <w:pStyle w:val="Sraopastraipa"/>
        <w:spacing w:after="0" w:line="240" w:lineRule="auto"/>
        <w:ind w:left="0" w:firstLine="720"/>
        <w:jc w:val="both"/>
        <w:rPr>
          <w:rFonts w:ascii="Times New Roman" w:hAnsi="Times New Roman"/>
          <w:b/>
          <w:sz w:val="24"/>
          <w:szCs w:val="24"/>
          <w:lang w:val="lt-LT"/>
        </w:rPr>
      </w:pPr>
      <w:r w:rsidRPr="00DF4893">
        <w:rPr>
          <w:rFonts w:ascii="Times New Roman" w:hAnsi="Times New Roman"/>
          <w:b/>
          <w:sz w:val="24"/>
          <w:szCs w:val="24"/>
          <w:lang w:val="lt-LT"/>
        </w:rPr>
        <w:t xml:space="preserve">4. Lėšų poreikis ir šaltiniai. </w:t>
      </w:r>
    </w:p>
    <w:p w14:paraId="2F6EFA6C" w14:textId="30204791" w:rsidR="00904C33" w:rsidRPr="00DF4893" w:rsidRDefault="00D771FF" w:rsidP="0092631F">
      <w:pPr>
        <w:pStyle w:val="Sraopastraipa"/>
        <w:spacing w:after="0" w:line="240" w:lineRule="auto"/>
        <w:ind w:left="0" w:firstLine="720"/>
        <w:jc w:val="both"/>
        <w:rPr>
          <w:rFonts w:ascii="Times New Roman" w:hAnsi="Times New Roman"/>
          <w:b/>
          <w:sz w:val="24"/>
          <w:szCs w:val="24"/>
          <w:lang w:val="lt-LT"/>
        </w:rPr>
      </w:pPr>
      <w:r>
        <w:rPr>
          <w:rFonts w:ascii="Times New Roman" w:hAnsi="Times New Roman"/>
          <w:sz w:val="24"/>
          <w:szCs w:val="24"/>
          <w:lang w:val="lt-LT"/>
        </w:rPr>
        <w:t xml:space="preserve">Kretingos rajono savivaldybės biudžetinių įstaigų patalpų šildymui sąnaudos padidės </w:t>
      </w:r>
      <w:r>
        <w:rPr>
          <w:rFonts w:cs="Calibri"/>
          <w:sz w:val="24"/>
          <w:szCs w:val="24"/>
          <w:lang w:val="lt-LT"/>
        </w:rPr>
        <w:t>~</w:t>
      </w:r>
      <w:r>
        <w:rPr>
          <w:rFonts w:ascii="Times New Roman" w:hAnsi="Times New Roman"/>
          <w:sz w:val="24"/>
          <w:szCs w:val="24"/>
          <w:lang w:val="lt-LT"/>
        </w:rPr>
        <w:t>6,63 proc.</w:t>
      </w:r>
    </w:p>
    <w:p w14:paraId="59178634" w14:textId="77777777" w:rsidR="00147BAB" w:rsidRPr="00DF4893" w:rsidRDefault="00147BAB" w:rsidP="0092631F">
      <w:pPr>
        <w:pStyle w:val="Sraopastraipa"/>
        <w:spacing w:after="0" w:line="240" w:lineRule="auto"/>
        <w:ind w:left="0" w:firstLine="720"/>
        <w:jc w:val="both"/>
        <w:rPr>
          <w:rFonts w:ascii="Times New Roman" w:hAnsi="Times New Roman"/>
          <w:b/>
          <w:sz w:val="24"/>
          <w:szCs w:val="24"/>
          <w:lang w:val="lt-LT"/>
        </w:rPr>
      </w:pPr>
      <w:r w:rsidRPr="00DF4893">
        <w:rPr>
          <w:rFonts w:ascii="Times New Roman" w:hAnsi="Times New Roman"/>
          <w:b/>
          <w:sz w:val="24"/>
          <w:szCs w:val="24"/>
          <w:lang w:val="lt-LT"/>
        </w:rPr>
        <w:t>5. Kiti sprendimui priimti reikalingi pagrindimai, skaičiavimai ar paaiškinimai.</w:t>
      </w:r>
    </w:p>
    <w:p w14:paraId="76844F21" w14:textId="720046D0" w:rsidR="00147BAB" w:rsidRPr="00DF4893" w:rsidRDefault="00DF4893" w:rsidP="0092631F">
      <w:pPr>
        <w:ind w:firstLine="720"/>
        <w:jc w:val="both"/>
        <w:rPr>
          <w:bCs/>
        </w:rPr>
      </w:pPr>
      <w:r>
        <w:rPr>
          <w:bCs/>
        </w:rPr>
        <w:t xml:space="preserve">Pateikti </w:t>
      </w:r>
      <w:r w:rsidRPr="0092631F">
        <w:t>UAB Kretingos šilumos tinklų 2023 m. lapkričio 23 d. rašt</w:t>
      </w:r>
      <w:r>
        <w:t>e</w:t>
      </w:r>
      <w:r w:rsidRPr="0092631F">
        <w:t xml:space="preserve"> Nr. R2-236 „Dėl UAB Kretingos šilumos tinklų </w:t>
      </w:r>
      <w:r w:rsidRPr="0092631F">
        <w:rPr>
          <w:bCs/>
        </w:rPr>
        <w:t>koreguoto šilumos gamybos ir (ar) tiekimo pajamų bazinio lygio nustatymo</w:t>
      </w:r>
      <w:r w:rsidRPr="0092631F">
        <w:t>“</w:t>
      </w:r>
      <w:r>
        <w:t>.</w:t>
      </w:r>
    </w:p>
    <w:p w14:paraId="4CDCA7D0" w14:textId="77777777" w:rsidR="00147BAB" w:rsidRDefault="00147BAB" w:rsidP="00147BAB">
      <w:pPr>
        <w:tabs>
          <w:tab w:val="left" w:pos="720"/>
          <w:tab w:val="left" w:pos="1440"/>
          <w:tab w:val="left" w:pos="2160"/>
          <w:tab w:val="left" w:pos="2880"/>
          <w:tab w:val="left" w:pos="3600"/>
          <w:tab w:val="left" w:pos="4320"/>
          <w:tab w:val="left" w:pos="5040"/>
          <w:tab w:val="left" w:pos="6435"/>
        </w:tabs>
        <w:ind w:firstLine="720"/>
        <w:jc w:val="both"/>
        <w:rPr>
          <w:b/>
        </w:rPr>
      </w:pPr>
      <w:r>
        <w:rPr>
          <w:b/>
        </w:rPr>
        <w:t>6</w:t>
      </w:r>
      <w:r w:rsidRPr="003013A1">
        <w:rPr>
          <w:b/>
        </w:rPr>
        <w:t>.</w:t>
      </w:r>
      <w:r w:rsidRPr="00C43D07">
        <w:rPr>
          <w:b/>
          <w:bCs/>
        </w:rP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481EB619" w14:textId="77777777" w:rsidR="00147BAB" w:rsidRDefault="00147BAB" w:rsidP="00147BAB">
      <w:pPr>
        <w:tabs>
          <w:tab w:val="left" w:pos="720"/>
          <w:tab w:val="left" w:pos="1440"/>
          <w:tab w:val="left" w:pos="2160"/>
          <w:tab w:val="left" w:pos="2880"/>
          <w:tab w:val="left" w:pos="3600"/>
          <w:tab w:val="left" w:pos="4320"/>
          <w:tab w:val="left" w:pos="5040"/>
          <w:tab w:val="left" w:pos="6435"/>
        </w:tabs>
        <w:ind w:firstLine="720"/>
        <w:jc w:val="both"/>
        <w:rPr>
          <w:b/>
        </w:rPr>
      </w:pPr>
      <w:r w:rsidRPr="00D139F1">
        <w:rPr>
          <w:color w:val="000000"/>
        </w:rPr>
        <w:t>Teisės aktuose nenumatytas teisės akto projekto antikorupcinis vertinimas</w:t>
      </w:r>
      <w:r w:rsidRPr="00C70EA2">
        <w:rPr>
          <w:color w:val="000000"/>
        </w:rPr>
        <w:t>.</w:t>
      </w:r>
    </w:p>
    <w:p w14:paraId="5D3CA742" w14:textId="77777777" w:rsidR="00147BAB" w:rsidRDefault="00147BAB" w:rsidP="00147BAB">
      <w:pPr>
        <w:tabs>
          <w:tab w:val="left" w:pos="720"/>
          <w:tab w:val="left" w:pos="1440"/>
          <w:tab w:val="left" w:pos="2160"/>
          <w:tab w:val="left" w:pos="2880"/>
          <w:tab w:val="left" w:pos="3600"/>
          <w:tab w:val="left" w:pos="4320"/>
          <w:tab w:val="left" w:pos="5040"/>
          <w:tab w:val="left" w:pos="6435"/>
        </w:tabs>
        <w:ind w:firstLine="720"/>
        <w:jc w:val="both"/>
      </w:pPr>
      <w:r>
        <w:rPr>
          <w:b/>
        </w:rPr>
        <w:t xml:space="preserve">7. </w:t>
      </w:r>
      <w:r w:rsidRPr="003013A1">
        <w:rPr>
          <w:b/>
        </w:rPr>
        <w:t>Autorius ar autorių grupė</w:t>
      </w:r>
      <w:r>
        <w:t>.</w:t>
      </w:r>
    </w:p>
    <w:p w14:paraId="7AE9886F" w14:textId="77777777" w:rsidR="00147BAB" w:rsidRPr="004C2115" w:rsidRDefault="00147BAB" w:rsidP="00147BAB">
      <w:pPr>
        <w:tabs>
          <w:tab w:val="left" w:pos="720"/>
          <w:tab w:val="left" w:pos="1440"/>
          <w:tab w:val="left" w:pos="2160"/>
          <w:tab w:val="left" w:pos="2880"/>
          <w:tab w:val="left" w:pos="3600"/>
          <w:tab w:val="left" w:pos="4320"/>
          <w:tab w:val="left" w:pos="5040"/>
          <w:tab w:val="left" w:pos="6435"/>
        </w:tabs>
        <w:ind w:firstLine="720"/>
        <w:jc w:val="both"/>
        <w:rPr>
          <w:b/>
        </w:rPr>
      </w:pPr>
      <w:r>
        <w:t xml:space="preserve">Vietinio ūkio ir turto valdymo skyriaus vyr. specialistė Renata </w:t>
      </w:r>
      <w:proofErr w:type="spellStart"/>
      <w:r>
        <w:t>Ambrazevičienė</w:t>
      </w:r>
      <w:proofErr w:type="spellEnd"/>
      <w:r>
        <w:t>.</w:t>
      </w:r>
    </w:p>
    <w:sectPr w:rsidR="00147BAB" w:rsidRPr="004C2115" w:rsidSect="00186D8C">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36778" w14:textId="77777777" w:rsidR="00EE6182" w:rsidRDefault="00EE6182" w:rsidP="00186D8C">
      <w:r>
        <w:separator/>
      </w:r>
    </w:p>
  </w:endnote>
  <w:endnote w:type="continuationSeparator" w:id="0">
    <w:p w14:paraId="5567A583" w14:textId="77777777" w:rsidR="00EE6182" w:rsidRDefault="00EE6182" w:rsidP="0018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F7F4F" w14:textId="77777777" w:rsidR="00EE6182" w:rsidRDefault="00EE6182" w:rsidP="00186D8C">
      <w:r>
        <w:separator/>
      </w:r>
    </w:p>
  </w:footnote>
  <w:footnote w:type="continuationSeparator" w:id="0">
    <w:p w14:paraId="316DFC29" w14:textId="77777777" w:rsidR="00EE6182" w:rsidRDefault="00EE6182" w:rsidP="00186D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4AD1" w14:textId="58CF1C88" w:rsidR="00186D8C" w:rsidRDefault="00186D8C">
    <w:pPr>
      <w:pStyle w:val="Antrats"/>
      <w:jc w:val="center"/>
    </w:pPr>
    <w:r>
      <w:fldChar w:fldCharType="begin"/>
    </w:r>
    <w:r>
      <w:instrText>PAGE   \* MERGEFORMAT</w:instrText>
    </w:r>
    <w:r>
      <w:fldChar w:fldCharType="separate"/>
    </w:r>
    <w:r w:rsidR="00850F1A">
      <w:rPr>
        <w:noProof/>
      </w:rPr>
      <w:t>2</w:t>
    </w:r>
    <w:r>
      <w:fldChar w:fldCharType="end"/>
    </w:r>
  </w:p>
  <w:p w14:paraId="3A5516BC" w14:textId="02AAA4A0" w:rsidR="00186D8C" w:rsidRPr="00186D8C" w:rsidRDefault="00186D8C" w:rsidP="00186D8C">
    <w:pPr>
      <w:pStyle w:val="Antrats"/>
      <w:jc w:val="right"/>
      <w:rPr>
        <w:b/>
        <w:b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14EE" w14:textId="3B292F7A" w:rsidR="00186D8C" w:rsidRPr="00186D8C" w:rsidRDefault="00186D8C" w:rsidP="00186D8C">
    <w:pPr>
      <w:pStyle w:val="Antrats"/>
      <w:jc w:val="right"/>
      <w:rPr>
        <w:b/>
        <w:bCs/>
      </w:rPr>
    </w:pPr>
    <w:r w:rsidRPr="00186D8C">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381E" w14:textId="6AFD1003" w:rsidR="00186D8C" w:rsidRDefault="00186D8C">
    <w:pPr>
      <w:pStyle w:val="Antrats"/>
      <w:jc w:val="center"/>
    </w:pPr>
    <w:r>
      <w:fldChar w:fldCharType="begin"/>
    </w:r>
    <w:r>
      <w:instrText>PAGE   \* MERGEFORMAT</w:instrText>
    </w:r>
    <w:r>
      <w:fldChar w:fldCharType="separate"/>
    </w:r>
    <w:r w:rsidR="00850F1A">
      <w:rPr>
        <w:noProof/>
      </w:rPr>
      <w:t>2</w:t>
    </w:r>
    <w:r>
      <w:fldChar w:fldCharType="end"/>
    </w:r>
  </w:p>
  <w:p w14:paraId="4375A87F" w14:textId="77777777" w:rsidR="00186D8C" w:rsidRPr="00186D8C" w:rsidRDefault="00186D8C" w:rsidP="00186D8C">
    <w:pPr>
      <w:pStyle w:val="Antrats"/>
      <w:jc w:val="right"/>
      <w:rPr>
        <w:b/>
        <w:bC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886E" w14:textId="5C83CCDC" w:rsidR="00186D8C" w:rsidRPr="00186D8C" w:rsidRDefault="00186D8C" w:rsidP="00186D8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C4D"/>
    <w:multiLevelType w:val="multilevel"/>
    <w:tmpl w:val="886AA9F4"/>
    <w:lvl w:ilvl="0">
      <w:start w:val="1"/>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0DB6D98"/>
    <w:multiLevelType w:val="multilevel"/>
    <w:tmpl w:val="F56CC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0C020C"/>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E3952E1"/>
    <w:multiLevelType w:val="multilevel"/>
    <w:tmpl w:val="ABEC25D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0A23DA1"/>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169807CC"/>
    <w:multiLevelType w:val="multilevel"/>
    <w:tmpl w:val="EF68FEB0"/>
    <w:lvl w:ilvl="0">
      <w:start w:val="1"/>
      <w:numFmt w:val="decimal"/>
      <w:suff w:val="space"/>
      <w:lvlText w:val="%1."/>
      <w:lvlJc w:val="left"/>
      <w:pPr>
        <w:ind w:firstLine="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15:restartNumberingAfterBreak="0">
    <w:nsid w:val="1C5F103C"/>
    <w:multiLevelType w:val="multilevel"/>
    <w:tmpl w:val="568245AC"/>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211717BF"/>
    <w:multiLevelType w:val="multilevel"/>
    <w:tmpl w:val="3D00B01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960"/>
        </w:tabs>
        <w:ind w:left="960" w:hanging="72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8" w15:restartNumberingAfterBreak="0">
    <w:nsid w:val="29CA739A"/>
    <w:multiLevelType w:val="hybridMultilevel"/>
    <w:tmpl w:val="69E27BBA"/>
    <w:lvl w:ilvl="0" w:tplc="C92E6294">
      <w:start w:val="1"/>
      <w:numFmt w:val="bullet"/>
      <w:suff w:val="space"/>
      <w:lvlText w:val="-"/>
      <w:lvlJc w:val="left"/>
      <w:pPr>
        <w:ind w:left="0" w:firstLine="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F55936"/>
    <w:multiLevelType w:val="multilevel"/>
    <w:tmpl w:val="7CECF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32264C"/>
    <w:multiLevelType w:val="hybridMultilevel"/>
    <w:tmpl w:val="B4C67D0A"/>
    <w:lvl w:ilvl="0" w:tplc="87A2FC8E">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2" w15:restartNumberingAfterBreak="0">
    <w:nsid w:val="38F25E29"/>
    <w:multiLevelType w:val="multilevel"/>
    <w:tmpl w:val="4D700FB2"/>
    <w:lvl w:ilvl="0">
      <w:start w:val="1"/>
      <w:numFmt w:val="decimal"/>
      <w:lvlText w:val="%1."/>
      <w:lvlJc w:val="left"/>
      <w:pPr>
        <w:ind w:left="720" w:hanging="720"/>
      </w:pPr>
      <w:rPr>
        <w:rFonts w:cs="Times New Roman" w:hint="default"/>
      </w:rPr>
    </w:lvl>
    <w:lvl w:ilvl="1">
      <w:start w:val="2"/>
      <w:numFmt w:val="decimal"/>
      <w:lvlText w:val="%1.%2."/>
      <w:lvlJc w:val="left"/>
      <w:pPr>
        <w:ind w:left="960" w:hanging="7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3" w15:restartNumberingAfterBreak="0">
    <w:nsid w:val="3D077653"/>
    <w:multiLevelType w:val="multilevel"/>
    <w:tmpl w:val="F614EE00"/>
    <w:lvl w:ilvl="0">
      <w:start w:val="1"/>
      <w:numFmt w:val="decimal"/>
      <w:lvlText w:val="%1."/>
      <w:lvlJc w:val="left"/>
      <w:pPr>
        <w:ind w:left="720" w:hanging="720"/>
      </w:pPr>
      <w:rPr>
        <w:rFonts w:cs="Times New Roman" w:hint="default"/>
      </w:rPr>
    </w:lvl>
    <w:lvl w:ilvl="1">
      <w:start w:val="3"/>
      <w:numFmt w:val="decimal"/>
      <w:lvlText w:val="%1.%2."/>
      <w:lvlJc w:val="left"/>
      <w:pPr>
        <w:ind w:left="960" w:hanging="720"/>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firstLine="6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4" w15:restartNumberingAfterBreak="0">
    <w:nsid w:val="3D2026CC"/>
    <w:multiLevelType w:val="hybridMultilevel"/>
    <w:tmpl w:val="C314476C"/>
    <w:lvl w:ilvl="0" w:tplc="58787E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0AE0A9D"/>
    <w:multiLevelType w:val="hybridMultilevel"/>
    <w:tmpl w:val="9594D46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4B46EB9"/>
    <w:multiLevelType w:val="multilevel"/>
    <w:tmpl w:val="D80A948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CF63374"/>
    <w:multiLevelType w:val="multilevel"/>
    <w:tmpl w:val="1F7C5932"/>
    <w:lvl w:ilvl="0">
      <w:start w:val="1"/>
      <w:numFmt w:val="decimal"/>
      <w:lvlText w:val="%1."/>
      <w:lvlJc w:val="left"/>
      <w:pPr>
        <w:tabs>
          <w:tab w:val="num" w:pos="1650"/>
        </w:tabs>
        <w:ind w:left="1650" w:hanging="360"/>
      </w:pPr>
      <w:rPr>
        <w:rFonts w:hint="default"/>
        <w:b/>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18" w15:restartNumberingAfterBreak="0">
    <w:nsid w:val="665F0D69"/>
    <w:multiLevelType w:val="hybridMultilevel"/>
    <w:tmpl w:val="06FA18FC"/>
    <w:lvl w:ilvl="0" w:tplc="F8C8A36C">
      <w:start w:val="6"/>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69301C65"/>
    <w:multiLevelType w:val="hybridMultilevel"/>
    <w:tmpl w:val="A6DEFC30"/>
    <w:lvl w:ilvl="0" w:tplc="72C46E2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1" w15:restartNumberingAfterBreak="0">
    <w:nsid w:val="769635D4"/>
    <w:multiLevelType w:val="multilevel"/>
    <w:tmpl w:val="764EECB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705578B"/>
    <w:multiLevelType w:val="multilevel"/>
    <w:tmpl w:val="652CA78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7BEB479E"/>
    <w:multiLevelType w:val="hybridMultilevel"/>
    <w:tmpl w:val="1F7C5932"/>
    <w:lvl w:ilvl="0" w:tplc="B3FAEE5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4" w15:restartNumberingAfterBreak="0">
    <w:nsid w:val="7E206E77"/>
    <w:multiLevelType w:val="multilevel"/>
    <w:tmpl w:val="FC307B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8"/>
  </w:num>
  <w:num w:numId="4">
    <w:abstractNumId w:val="1"/>
  </w:num>
  <w:num w:numId="5">
    <w:abstractNumId w:val="3"/>
  </w:num>
  <w:num w:numId="6">
    <w:abstractNumId w:val="22"/>
  </w:num>
  <w:num w:numId="7">
    <w:abstractNumId w:val="21"/>
  </w:num>
  <w:num w:numId="8">
    <w:abstractNumId w:val="7"/>
  </w:num>
  <w:num w:numId="9">
    <w:abstractNumId w:val="19"/>
  </w:num>
  <w:num w:numId="10">
    <w:abstractNumId w:val="4"/>
  </w:num>
  <w:num w:numId="11">
    <w:abstractNumId w:val="2"/>
  </w:num>
  <w:num w:numId="12">
    <w:abstractNumId w:val="6"/>
  </w:num>
  <w:num w:numId="13">
    <w:abstractNumId w:val="15"/>
  </w:num>
  <w:num w:numId="14">
    <w:abstractNumId w:val="20"/>
  </w:num>
  <w:num w:numId="15">
    <w:abstractNumId w:val="23"/>
  </w:num>
  <w:num w:numId="16">
    <w:abstractNumId w:val="17"/>
  </w:num>
  <w:num w:numId="17">
    <w:abstractNumId w:val="10"/>
  </w:num>
  <w:num w:numId="18">
    <w:abstractNumId w:val="13"/>
  </w:num>
  <w:num w:numId="19">
    <w:abstractNumId w:val="5"/>
  </w:num>
  <w:num w:numId="20">
    <w:abstractNumId w:val="5"/>
    <w:lvlOverride w:ilvl="0">
      <w:lvl w:ilvl="0">
        <w:start w:val="1"/>
        <w:numFmt w:val="decimal"/>
        <w:suff w:val="space"/>
        <w:lvlText w:val="%1."/>
        <w:lvlJc w:val="left"/>
        <w:pPr>
          <w:ind w:firstLine="720"/>
        </w:pPr>
        <w:rPr>
          <w:rFonts w:cs="Times New Roman" w:hint="default"/>
        </w:rPr>
      </w:lvl>
    </w:lvlOverride>
    <w:lvlOverride w:ilvl="1">
      <w:lvl w:ilvl="1">
        <w:start w:val="1"/>
        <w:numFmt w:val="decimal"/>
        <w:isLgl/>
        <w:lvlText w:val="%1.%2."/>
        <w:lvlJc w:val="left"/>
        <w:pPr>
          <w:ind w:firstLine="720"/>
        </w:pPr>
        <w:rPr>
          <w:rFonts w:cs="Times New Roman" w:hint="default"/>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1">
    <w:abstractNumId w:val="0"/>
  </w:num>
  <w:num w:numId="22">
    <w:abstractNumId w:val="12"/>
  </w:num>
  <w:num w:numId="23">
    <w:abstractNumId w:val="0"/>
    <w:lvlOverride w:ilvl="0">
      <w:lvl w:ilvl="0">
        <w:start w:val="1"/>
        <w:numFmt w:val="decimal"/>
        <w:lvlText w:val="%1."/>
        <w:lvlJc w:val="left"/>
        <w:pPr>
          <w:ind w:left="540" w:hanging="540"/>
        </w:pPr>
        <w:rPr>
          <w:rFonts w:cs="Times New Roman" w:hint="default"/>
        </w:rPr>
      </w:lvl>
    </w:lvlOverride>
    <w:lvlOverride w:ilvl="1">
      <w:lvl w:ilvl="1">
        <w:start w:val="2"/>
        <w:numFmt w:val="decimal"/>
        <w:lvlText w:val="%1.%2."/>
        <w:lvlJc w:val="left"/>
        <w:pPr>
          <w:ind w:left="900" w:hanging="540"/>
        </w:pPr>
        <w:rPr>
          <w:rFonts w:cs="Times New Roman" w:hint="default"/>
        </w:rPr>
      </w:lvl>
    </w:lvlOverride>
    <w:lvlOverride w:ilvl="2">
      <w:lvl w:ilvl="2">
        <w:start w:val="2"/>
        <w:numFmt w:val="decimal"/>
        <w:lvlText w:val="%1.%2.%3."/>
        <w:lvlJc w:val="left"/>
        <w:pPr>
          <w:ind w:left="1440" w:hanging="720"/>
        </w:pPr>
        <w:rPr>
          <w:rFonts w:cs="Times New Roman" w:hint="default"/>
        </w:rPr>
      </w:lvl>
    </w:lvlOverride>
    <w:lvlOverride w:ilvl="3">
      <w:lvl w:ilvl="3">
        <w:start w:val="1"/>
        <w:numFmt w:val="decimal"/>
        <w:lvlText w:val="%1.%2.%3.%4."/>
        <w:lvlJc w:val="left"/>
        <w:pPr>
          <w:ind w:firstLine="720"/>
        </w:pPr>
        <w:rPr>
          <w:rFonts w:cs="Times New Roman" w:hint="default"/>
        </w:rPr>
      </w:lvl>
    </w:lvlOverride>
    <w:lvlOverride w:ilvl="4">
      <w:lvl w:ilvl="4">
        <w:start w:val="1"/>
        <w:numFmt w:val="decimal"/>
        <w:lvlText w:val="%1.%2.%3.%4.%5."/>
        <w:lvlJc w:val="left"/>
        <w:pPr>
          <w:ind w:left="2520" w:hanging="1080"/>
        </w:pPr>
        <w:rPr>
          <w:rFonts w:cs="Times New Roman" w:hint="default"/>
        </w:rPr>
      </w:lvl>
    </w:lvlOverride>
    <w:lvlOverride w:ilvl="5">
      <w:lvl w:ilvl="5">
        <w:start w:val="1"/>
        <w:numFmt w:val="decimal"/>
        <w:lvlText w:val="%1.%2.%3.%4.%5.%6."/>
        <w:lvlJc w:val="left"/>
        <w:pPr>
          <w:ind w:left="2880" w:hanging="1080"/>
        </w:pPr>
        <w:rPr>
          <w:rFonts w:cs="Times New Roman" w:hint="default"/>
        </w:rPr>
      </w:lvl>
    </w:lvlOverride>
    <w:lvlOverride w:ilvl="6">
      <w:lvl w:ilvl="6">
        <w:start w:val="1"/>
        <w:numFmt w:val="decimal"/>
        <w:lvlText w:val="%1.%2.%3.%4.%5.%6.%7."/>
        <w:lvlJc w:val="left"/>
        <w:pPr>
          <w:ind w:left="3600" w:hanging="1440"/>
        </w:pPr>
        <w:rPr>
          <w:rFonts w:cs="Times New Roman"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24">
    <w:abstractNumId w:val="8"/>
  </w:num>
  <w:num w:numId="25">
    <w:abstractNumId w:val="25"/>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9D"/>
    <w:rsid w:val="00005AA3"/>
    <w:rsid w:val="000268F1"/>
    <w:rsid w:val="0003033D"/>
    <w:rsid w:val="00030A14"/>
    <w:rsid w:val="00033EE7"/>
    <w:rsid w:val="00044167"/>
    <w:rsid w:val="000525D4"/>
    <w:rsid w:val="000562BD"/>
    <w:rsid w:val="00066B65"/>
    <w:rsid w:val="00070F38"/>
    <w:rsid w:val="00091F57"/>
    <w:rsid w:val="00097684"/>
    <w:rsid w:val="00097F57"/>
    <w:rsid w:val="000A0BDD"/>
    <w:rsid w:val="000B7D75"/>
    <w:rsid w:val="000C150F"/>
    <w:rsid w:val="000E4D07"/>
    <w:rsid w:val="000F5F8A"/>
    <w:rsid w:val="00132F63"/>
    <w:rsid w:val="00133482"/>
    <w:rsid w:val="00134A65"/>
    <w:rsid w:val="00137479"/>
    <w:rsid w:val="001451B2"/>
    <w:rsid w:val="00146041"/>
    <w:rsid w:val="00147BAB"/>
    <w:rsid w:val="00170407"/>
    <w:rsid w:val="00181519"/>
    <w:rsid w:val="0018254E"/>
    <w:rsid w:val="00186D8C"/>
    <w:rsid w:val="0019117D"/>
    <w:rsid w:val="00192731"/>
    <w:rsid w:val="00194C49"/>
    <w:rsid w:val="00195F3D"/>
    <w:rsid w:val="001A0377"/>
    <w:rsid w:val="001D1204"/>
    <w:rsid w:val="001F3628"/>
    <w:rsid w:val="00200D06"/>
    <w:rsid w:val="002173DB"/>
    <w:rsid w:val="00235BFB"/>
    <w:rsid w:val="0024111B"/>
    <w:rsid w:val="00242BF6"/>
    <w:rsid w:val="00242E5B"/>
    <w:rsid w:val="002608AE"/>
    <w:rsid w:val="00296E4E"/>
    <w:rsid w:val="002B68A0"/>
    <w:rsid w:val="002C4EA1"/>
    <w:rsid w:val="00304EEC"/>
    <w:rsid w:val="003133C0"/>
    <w:rsid w:val="00334A5A"/>
    <w:rsid w:val="00344027"/>
    <w:rsid w:val="00353646"/>
    <w:rsid w:val="00353E46"/>
    <w:rsid w:val="003701F6"/>
    <w:rsid w:val="00376B9B"/>
    <w:rsid w:val="003B248F"/>
    <w:rsid w:val="003B50EB"/>
    <w:rsid w:val="003C4ACC"/>
    <w:rsid w:val="003D2B9C"/>
    <w:rsid w:val="003D5046"/>
    <w:rsid w:val="003E05DC"/>
    <w:rsid w:val="00404769"/>
    <w:rsid w:val="004107CA"/>
    <w:rsid w:val="0041209E"/>
    <w:rsid w:val="004156F0"/>
    <w:rsid w:val="004219F9"/>
    <w:rsid w:val="00423A3D"/>
    <w:rsid w:val="0042798D"/>
    <w:rsid w:val="004348A5"/>
    <w:rsid w:val="00450F63"/>
    <w:rsid w:val="00457498"/>
    <w:rsid w:val="004644AE"/>
    <w:rsid w:val="00467269"/>
    <w:rsid w:val="00473432"/>
    <w:rsid w:val="00477EEB"/>
    <w:rsid w:val="00482268"/>
    <w:rsid w:val="0048336A"/>
    <w:rsid w:val="004837B3"/>
    <w:rsid w:val="004A273C"/>
    <w:rsid w:val="004A3658"/>
    <w:rsid w:val="004B0676"/>
    <w:rsid w:val="004C056F"/>
    <w:rsid w:val="004E0A1B"/>
    <w:rsid w:val="00506F86"/>
    <w:rsid w:val="0052020B"/>
    <w:rsid w:val="005437A2"/>
    <w:rsid w:val="0055464A"/>
    <w:rsid w:val="00557525"/>
    <w:rsid w:val="00560310"/>
    <w:rsid w:val="00560CCD"/>
    <w:rsid w:val="005852EA"/>
    <w:rsid w:val="005A5BF3"/>
    <w:rsid w:val="005B094D"/>
    <w:rsid w:val="005C3477"/>
    <w:rsid w:val="005C5DD2"/>
    <w:rsid w:val="005C6CA4"/>
    <w:rsid w:val="005D1239"/>
    <w:rsid w:val="005D7230"/>
    <w:rsid w:val="005E043D"/>
    <w:rsid w:val="005F0FC8"/>
    <w:rsid w:val="00617ABA"/>
    <w:rsid w:val="00623EF6"/>
    <w:rsid w:val="00663456"/>
    <w:rsid w:val="00666924"/>
    <w:rsid w:val="0068371B"/>
    <w:rsid w:val="0069192D"/>
    <w:rsid w:val="006924EC"/>
    <w:rsid w:val="00695ED3"/>
    <w:rsid w:val="00696A13"/>
    <w:rsid w:val="006A2E85"/>
    <w:rsid w:val="006C0697"/>
    <w:rsid w:val="006D50FE"/>
    <w:rsid w:val="006F0912"/>
    <w:rsid w:val="007274F3"/>
    <w:rsid w:val="00727FE9"/>
    <w:rsid w:val="00734AE2"/>
    <w:rsid w:val="00742E6C"/>
    <w:rsid w:val="007522D7"/>
    <w:rsid w:val="007600EC"/>
    <w:rsid w:val="00766E67"/>
    <w:rsid w:val="007736BC"/>
    <w:rsid w:val="00793C5C"/>
    <w:rsid w:val="007B3A27"/>
    <w:rsid w:val="007C547E"/>
    <w:rsid w:val="007D4BCD"/>
    <w:rsid w:val="007D7764"/>
    <w:rsid w:val="0080342E"/>
    <w:rsid w:val="008051EE"/>
    <w:rsid w:val="00806818"/>
    <w:rsid w:val="008218B1"/>
    <w:rsid w:val="0082353E"/>
    <w:rsid w:val="00823989"/>
    <w:rsid w:val="0083177A"/>
    <w:rsid w:val="00832EE7"/>
    <w:rsid w:val="00837259"/>
    <w:rsid w:val="00850F1A"/>
    <w:rsid w:val="0085113A"/>
    <w:rsid w:val="00851A06"/>
    <w:rsid w:val="00852486"/>
    <w:rsid w:val="008640D1"/>
    <w:rsid w:val="008B2504"/>
    <w:rsid w:val="008C11D3"/>
    <w:rsid w:val="00900C9D"/>
    <w:rsid w:val="00904C33"/>
    <w:rsid w:val="00910263"/>
    <w:rsid w:val="009113D7"/>
    <w:rsid w:val="00914275"/>
    <w:rsid w:val="00916964"/>
    <w:rsid w:val="0092631F"/>
    <w:rsid w:val="00934D6D"/>
    <w:rsid w:val="0093709B"/>
    <w:rsid w:val="009405D3"/>
    <w:rsid w:val="00941A54"/>
    <w:rsid w:val="00957BB6"/>
    <w:rsid w:val="00974B52"/>
    <w:rsid w:val="0098029C"/>
    <w:rsid w:val="00984C6E"/>
    <w:rsid w:val="0098666E"/>
    <w:rsid w:val="009A71F6"/>
    <w:rsid w:val="009B03C4"/>
    <w:rsid w:val="009B05E6"/>
    <w:rsid w:val="009B1E01"/>
    <w:rsid w:val="009B5438"/>
    <w:rsid w:val="009C35DE"/>
    <w:rsid w:val="009D0998"/>
    <w:rsid w:val="009D2688"/>
    <w:rsid w:val="009D46C7"/>
    <w:rsid w:val="009F181B"/>
    <w:rsid w:val="00A06A9D"/>
    <w:rsid w:val="00A5676F"/>
    <w:rsid w:val="00A6015D"/>
    <w:rsid w:val="00A7747B"/>
    <w:rsid w:val="00A80BC8"/>
    <w:rsid w:val="00A8276E"/>
    <w:rsid w:val="00A9589E"/>
    <w:rsid w:val="00A965AE"/>
    <w:rsid w:val="00AA1DD2"/>
    <w:rsid w:val="00AB1B40"/>
    <w:rsid w:val="00AB2A69"/>
    <w:rsid w:val="00AC2B62"/>
    <w:rsid w:val="00AC7C2F"/>
    <w:rsid w:val="00AD3B90"/>
    <w:rsid w:val="00AE26E3"/>
    <w:rsid w:val="00AE5FB6"/>
    <w:rsid w:val="00AF3845"/>
    <w:rsid w:val="00B01FAE"/>
    <w:rsid w:val="00B03BF9"/>
    <w:rsid w:val="00B03ED7"/>
    <w:rsid w:val="00B07FD4"/>
    <w:rsid w:val="00B150A6"/>
    <w:rsid w:val="00B15FC1"/>
    <w:rsid w:val="00B17EBD"/>
    <w:rsid w:val="00B60412"/>
    <w:rsid w:val="00B8237E"/>
    <w:rsid w:val="00BA2A91"/>
    <w:rsid w:val="00BB1CE0"/>
    <w:rsid w:val="00BC3BD1"/>
    <w:rsid w:val="00BC4987"/>
    <w:rsid w:val="00BD57F1"/>
    <w:rsid w:val="00BF0E43"/>
    <w:rsid w:val="00C00CD2"/>
    <w:rsid w:val="00C05124"/>
    <w:rsid w:val="00C152B0"/>
    <w:rsid w:val="00C305FB"/>
    <w:rsid w:val="00C31C4F"/>
    <w:rsid w:val="00C54B6B"/>
    <w:rsid w:val="00C54C50"/>
    <w:rsid w:val="00C624B4"/>
    <w:rsid w:val="00C72DD1"/>
    <w:rsid w:val="00C73A9F"/>
    <w:rsid w:val="00C768C4"/>
    <w:rsid w:val="00C937F0"/>
    <w:rsid w:val="00C94B30"/>
    <w:rsid w:val="00C9779F"/>
    <w:rsid w:val="00CC7DC3"/>
    <w:rsid w:val="00CD19E2"/>
    <w:rsid w:val="00CD6237"/>
    <w:rsid w:val="00CE4963"/>
    <w:rsid w:val="00CE5D27"/>
    <w:rsid w:val="00D01BEE"/>
    <w:rsid w:val="00D027A8"/>
    <w:rsid w:val="00D1399B"/>
    <w:rsid w:val="00D377C9"/>
    <w:rsid w:val="00D4472E"/>
    <w:rsid w:val="00D51ED2"/>
    <w:rsid w:val="00D551DB"/>
    <w:rsid w:val="00D5634C"/>
    <w:rsid w:val="00D6531C"/>
    <w:rsid w:val="00D771FF"/>
    <w:rsid w:val="00D817DF"/>
    <w:rsid w:val="00D92834"/>
    <w:rsid w:val="00DA2437"/>
    <w:rsid w:val="00DB67A6"/>
    <w:rsid w:val="00DC7EBB"/>
    <w:rsid w:val="00DE05F4"/>
    <w:rsid w:val="00DE48C5"/>
    <w:rsid w:val="00DE52C9"/>
    <w:rsid w:val="00DF0887"/>
    <w:rsid w:val="00DF4893"/>
    <w:rsid w:val="00E00209"/>
    <w:rsid w:val="00E03493"/>
    <w:rsid w:val="00E147B0"/>
    <w:rsid w:val="00E5009F"/>
    <w:rsid w:val="00E51DF0"/>
    <w:rsid w:val="00E56C18"/>
    <w:rsid w:val="00E64309"/>
    <w:rsid w:val="00E92834"/>
    <w:rsid w:val="00E94E85"/>
    <w:rsid w:val="00E95521"/>
    <w:rsid w:val="00EB5C4F"/>
    <w:rsid w:val="00EC2EC5"/>
    <w:rsid w:val="00EC3B81"/>
    <w:rsid w:val="00EC40DC"/>
    <w:rsid w:val="00ED3EA6"/>
    <w:rsid w:val="00EE1BAC"/>
    <w:rsid w:val="00EE4CEF"/>
    <w:rsid w:val="00EE6182"/>
    <w:rsid w:val="00F04D74"/>
    <w:rsid w:val="00F062FD"/>
    <w:rsid w:val="00F0666D"/>
    <w:rsid w:val="00F11583"/>
    <w:rsid w:val="00F172FE"/>
    <w:rsid w:val="00F34987"/>
    <w:rsid w:val="00F412EE"/>
    <w:rsid w:val="00F44CDD"/>
    <w:rsid w:val="00F5360E"/>
    <w:rsid w:val="00F646B8"/>
    <w:rsid w:val="00F83D67"/>
    <w:rsid w:val="00F86FC2"/>
    <w:rsid w:val="00F8745F"/>
    <w:rsid w:val="00F8777B"/>
    <w:rsid w:val="00F92B95"/>
    <w:rsid w:val="00FB0B3C"/>
    <w:rsid w:val="00FC3406"/>
    <w:rsid w:val="00FF66A3"/>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28E1F"/>
  <w15:chartTrackingRefBased/>
  <w15:docId w15:val="{48A0B425-035D-4273-8C4E-FC061BFF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6A9D"/>
    <w:pPr>
      <w:widowControl w:val="0"/>
      <w:suppressAutoHyphens/>
    </w:pPr>
    <w:rPr>
      <w:rFonts w:eastAsia="Lucida Sans Unicode"/>
      <w:sz w:val="24"/>
      <w:szCs w:val="24"/>
      <w:lang w:val="lt-LT"/>
    </w:rPr>
  </w:style>
  <w:style w:type="paragraph" w:styleId="Antrat1">
    <w:name w:val="heading 1"/>
    <w:basedOn w:val="prastasis"/>
    <w:next w:val="prastasis"/>
    <w:qFormat/>
    <w:rsid w:val="00B150A6"/>
    <w:pPr>
      <w:keepNext/>
      <w:widowControl/>
      <w:suppressAutoHyphens w:val="0"/>
      <w:jc w:val="center"/>
      <w:outlineLvl w:val="0"/>
    </w:pPr>
    <w:rPr>
      <w:rFonts w:eastAsia="Times New Roman"/>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A0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raopastraipa1">
    <w:name w:val="Sąrašo pastraipa1"/>
    <w:basedOn w:val="prastasis"/>
    <w:qFormat/>
    <w:rsid w:val="0055464A"/>
    <w:pPr>
      <w:widowControl/>
      <w:suppressAutoHyphens w:val="0"/>
      <w:spacing w:after="200" w:line="276" w:lineRule="auto"/>
      <w:ind w:left="720"/>
      <w:contextualSpacing/>
    </w:pPr>
    <w:rPr>
      <w:rFonts w:ascii="Calibri" w:eastAsia="Calibri" w:hAnsi="Calibri"/>
      <w:sz w:val="22"/>
      <w:szCs w:val="22"/>
      <w:lang w:val="en-US"/>
    </w:rPr>
  </w:style>
  <w:style w:type="paragraph" w:styleId="Pagrindiniotekstotrauka">
    <w:name w:val="Body Text Indent"/>
    <w:basedOn w:val="prastasis"/>
    <w:link w:val="PagrindiniotekstotraukaDiagrama"/>
    <w:rsid w:val="000525D4"/>
    <w:pPr>
      <w:widowControl/>
      <w:suppressAutoHyphens w:val="0"/>
      <w:ind w:firstLine="720"/>
      <w:jc w:val="both"/>
    </w:pPr>
    <w:rPr>
      <w:rFonts w:eastAsia="Times New Roman"/>
      <w:szCs w:val="20"/>
    </w:rPr>
  </w:style>
  <w:style w:type="character" w:customStyle="1" w:styleId="PagrindiniotekstotraukaDiagrama">
    <w:name w:val="Pagrindinio teksto įtrauka Diagrama"/>
    <w:link w:val="Pagrindiniotekstotrauka"/>
    <w:rsid w:val="000525D4"/>
    <w:rPr>
      <w:sz w:val="24"/>
      <w:lang w:val="lt-LT" w:eastAsia="en-US" w:bidi="ar-SA"/>
    </w:rPr>
  </w:style>
  <w:style w:type="paragraph" w:styleId="Pagrindinistekstas">
    <w:name w:val="Body Text"/>
    <w:basedOn w:val="prastasis"/>
    <w:rsid w:val="00B150A6"/>
    <w:pPr>
      <w:widowControl/>
      <w:spacing w:after="120"/>
    </w:pPr>
    <w:rPr>
      <w:rFonts w:eastAsia="Times New Roman"/>
      <w:lang w:eastAsia="ar-SA"/>
    </w:rPr>
  </w:style>
  <w:style w:type="paragraph" w:styleId="Debesliotekstas">
    <w:name w:val="Balloon Text"/>
    <w:basedOn w:val="prastasis"/>
    <w:semiHidden/>
    <w:rsid w:val="006924EC"/>
    <w:rPr>
      <w:rFonts w:ascii="Tahoma" w:hAnsi="Tahoma" w:cs="Tahoma"/>
      <w:sz w:val="16"/>
      <w:szCs w:val="16"/>
    </w:rPr>
  </w:style>
  <w:style w:type="paragraph" w:styleId="Sraopastraipa">
    <w:name w:val="List Paragraph"/>
    <w:basedOn w:val="prastasis"/>
    <w:uiPriority w:val="34"/>
    <w:qFormat/>
    <w:rsid w:val="00A6015D"/>
    <w:pPr>
      <w:widowControl/>
      <w:suppressAutoHyphens w:val="0"/>
      <w:spacing w:after="200" w:line="276" w:lineRule="auto"/>
      <w:ind w:left="720"/>
      <w:contextualSpacing/>
    </w:pPr>
    <w:rPr>
      <w:rFonts w:ascii="Calibri" w:eastAsia="Calibri" w:hAnsi="Calibri"/>
      <w:sz w:val="22"/>
      <w:szCs w:val="22"/>
      <w:lang w:val="en-US"/>
    </w:rPr>
  </w:style>
  <w:style w:type="character" w:styleId="Grietas">
    <w:name w:val="Strong"/>
    <w:qFormat/>
    <w:rsid w:val="00734AE2"/>
    <w:rPr>
      <w:b/>
      <w:bCs/>
    </w:rPr>
  </w:style>
  <w:style w:type="character" w:customStyle="1" w:styleId="apple-converted-space">
    <w:name w:val="apple-converted-space"/>
    <w:basedOn w:val="Numatytasispastraiposriftas"/>
    <w:rsid w:val="00477EEB"/>
  </w:style>
  <w:style w:type="paragraph" w:customStyle="1" w:styleId="Default">
    <w:name w:val="Default"/>
    <w:rsid w:val="004156F0"/>
    <w:pPr>
      <w:autoSpaceDE w:val="0"/>
      <w:autoSpaceDN w:val="0"/>
      <w:adjustRightInd w:val="0"/>
    </w:pPr>
    <w:rPr>
      <w:color w:val="000000"/>
      <w:sz w:val="24"/>
      <w:szCs w:val="24"/>
      <w:lang w:val="lt-LT" w:eastAsia="lt-LT"/>
    </w:rPr>
  </w:style>
  <w:style w:type="character" w:styleId="Puslapionumeris">
    <w:name w:val="page number"/>
    <w:basedOn w:val="Numatytasispastraiposriftas"/>
    <w:rsid w:val="00742E6C"/>
  </w:style>
  <w:style w:type="character" w:customStyle="1" w:styleId="Tablecaption">
    <w:name w:val="Table caption_"/>
    <w:link w:val="Tablecaption0"/>
    <w:rsid w:val="00E92834"/>
    <w:rPr>
      <w:shd w:val="clear" w:color="auto" w:fill="FFFFFF"/>
    </w:rPr>
  </w:style>
  <w:style w:type="character" w:customStyle="1" w:styleId="Other">
    <w:name w:val="Other_"/>
    <w:link w:val="Other0"/>
    <w:rsid w:val="00E92834"/>
    <w:rPr>
      <w:shd w:val="clear" w:color="auto" w:fill="FFFFFF"/>
    </w:rPr>
  </w:style>
  <w:style w:type="paragraph" w:customStyle="1" w:styleId="Tablecaption0">
    <w:name w:val="Table caption"/>
    <w:basedOn w:val="prastasis"/>
    <w:link w:val="Tablecaption"/>
    <w:rsid w:val="00E92834"/>
    <w:pPr>
      <w:shd w:val="clear" w:color="auto" w:fill="FFFFFF"/>
      <w:suppressAutoHyphens w:val="0"/>
    </w:pPr>
    <w:rPr>
      <w:rFonts w:eastAsia="Times New Roman"/>
      <w:sz w:val="20"/>
      <w:szCs w:val="20"/>
      <w:lang w:eastAsia="lt-LT"/>
    </w:rPr>
  </w:style>
  <w:style w:type="paragraph" w:customStyle="1" w:styleId="Other0">
    <w:name w:val="Other"/>
    <w:basedOn w:val="prastasis"/>
    <w:link w:val="Other"/>
    <w:rsid w:val="00E92834"/>
    <w:pPr>
      <w:shd w:val="clear" w:color="auto" w:fill="FFFFFF"/>
      <w:suppressAutoHyphens w:val="0"/>
      <w:ind w:firstLine="400"/>
    </w:pPr>
    <w:rPr>
      <w:rFonts w:eastAsia="Times New Roman"/>
      <w:sz w:val="20"/>
      <w:szCs w:val="20"/>
      <w:lang w:eastAsia="lt-LT"/>
    </w:rPr>
  </w:style>
  <w:style w:type="paragraph" w:styleId="Betarp">
    <w:name w:val="No Spacing"/>
    <w:uiPriority w:val="1"/>
    <w:qFormat/>
    <w:rsid w:val="00AC7C2F"/>
    <w:pPr>
      <w:jc w:val="both"/>
    </w:pPr>
    <w:rPr>
      <w:sz w:val="24"/>
      <w:lang w:val="lt-LT" w:eastAsia="lt-LT"/>
    </w:rPr>
  </w:style>
  <w:style w:type="character" w:styleId="Komentaronuoroda">
    <w:name w:val="annotation reference"/>
    <w:rsid w:val="005B094D"/>
    <w:rPr>
      <w:sz w:val="16"/>
      <w:szCs w:val="16"/>
    </w:rPr>
  </w:style>
  <w:style w:type="paragraph" w:styleId="Komentarotekstas">
    <w:name w:val="annotation text"/>
    <w:basedOn w:val="prastasis"/>
    <w:link w:val="KomentarotekstasDiagrama"/>
    <w:rsid w:val="005B094D"/>
    <w:rPr>
      <w:sz w:val="20"/>
      <w:szCs w:val="20"/>
    </w:rPr>
  </w:style>
  <w:style w:type="character" w:customStyle="1" w:styleId="KomentarotekstasDiagrama">
    <w:name w:val="Komentaro tekstas Diagrama"/>
    <w:link w:val="Komentarotekstas"/>
    <w:rsid w:val="005B094D"/>
    <w:rPr>
      <w:rFonts w:eastAsia="Lucida Sans Unicode"/>
      <w:lang w:val="lt-LT"/>
    </w:rPr>
  </w:style>
  <w:style w:type="paragraph" w:styleId="Komentarotema">
    <w:name w:val="annotation subject"/>
    <w:basedOn w:val="Komentarotekstas"/>
    <w:next w:val="Komentarotekstas"/>
    <w:link w:val="KomentarotemaDiagrama"/>
    <w:rsid w:val="005B094D"/>
    <w:rPr>
      <w:b/>
      <w:bCs/>
    </w:rPr>
  </w:style>
  <w:style w:type="character" w:customStyle="1" w:styleId="KomentarotemaDiagrama">
    <w:name w:val="Komentaro tema Diagrama"/>
    <w:link w:val="Komentarotema"/>
    <w:rsid w:val="005B094D"/>
    <w:rPr>
      <w:rFonts w:eastAsia="Lucida Sans Unicode"/>
      <w:b/>
      <w:bCs/>
      <w:lang w:val="lt-LT"/>
    </w:rPr>
  </w:style>
  <w:style w:type="paragraph" w:customStyle="1" w:styleId="pf0">
    <w:name w:val="pf0"/>
    <w:basedOn w:val="prastasis"/>
    <w:rsid w:val="007B3A27"/>
    <w:pPr>
      <w:widowControl/>
      <w:suppressAutoHyphens w:val="0"/>
      <w:spacing w:before="100" w:beforeAutospacing="1" w:after="100" w:afterAutospacing="1"/>
    </w:pPr>
    <w:rPr>
      <w:rFonts w:eastAsia="Times New Roman"/>
      <w:lang w:eastAsia="lt-LT"/>
    </w:rPr>
  </w:style>
  <w:style w:type="character" w:customStyle="1" w:styleId="cf01">
    <w:name w:val="cf01"/>
    <w:rsid w:val="007B3A27"/>
    <w:rPr>
      <w:rFonts w:ascii="Segoe UI" w:hAnsi="Segoe UI" w:cs="Segoe UI" w:hint="default"/>
      <w:sz w:val="18"/>
      <w:szCs w:val="18"/>
    </w:rPr>
  </w:style>
  <w:style w:type="paragraph" w:styleId="Antrats">
    <w:name w:val="header"/>
    <w:basedOn w:val="prastasis"/>
    <w:link w:val="AntratsDiagrama"/>
    <w:uiPriority w:val="99"/>
    <w:rsid w:val="00186D8C"/>
    <w:pPr>
      <w:tabs>
        <w:tab w:val="center" w:pos="4986"/>
        <w:tab w:val="right" w:pos="9972"/>
      </w:tabs>
    </w:pPr>
  </w:style>
  <w:style w:type="character" w:customStyle="1" w:styleId="AntratsDiagrama">
    <w:name w:val="Antraštės Diagrama"/>
    <w:basedOn w:val="Numatytasispastraiposriftas"/>
    <w:link w:val="Antrats"/>
    <w:uiPriority w:val="99"/>
    <w:rsid w:val="00186D8C"/>
    <w:rPr>
      <w:rFonts w:eastAsia="Lucida Sans Unicode"/>
      <w:sz w:val="24"/>
      <w:szCs w:val="24"/>
      <w:lang w:val="lt-LT"/>
    </w:rPr>
  </w:style>
  <w:style w:type="paragraph" w:styleId="Porat">
    <w:name w:val="footer"/>
    <w:basedOn w:val="prastasis"/>
    <w:link w:val="PoratDiagrama"/>
    <w:rsid w:val="00186D8C"/>
    <w:pPr>
      <w:tabs>
        <w:tab w:val="center" w:pos="4986"/>
        <w:tab w:val="right" w:pos="9972"/>
      </w:tabs>
    </w:pPr>
  </w:style>
  <w:style w:type="character" w:customStyle="1" w:styleId="PoratDiagrama">
    <w:name w:val="Poraštė Diagrama"/>
    <w:basedOn w:val="Numatytasispastraiposriftas"/>
    <w:link w:val="Porat"/>
    <w:rsid w:val="00186D8C"/>
    <w:rPr>
      <w:rFonts w:eastAsia="Lucida Sans Unicode"/>
      <w:sz w:val="24"/>
      <w:szCs w:val="24"/>
      <w:lang w:val="lt-LT"/>
    </w:rPr>
  </w:style>
  <w:style w:type="paragraph" w:customStyle="1" w:styleId="tajtip">
    <w:name w:val="tajtip"/>
    <w:basedOn w:val="prastasis"/>
    <w:rsid w:val="00132F63"/>
    <w:pPr>
      <w:widowControl/>
      <w:suppressAutoHyphens w:val="0"/>
      <w:spacing w:before="100" w:beforeAutospacing="1" w:after="100" w:afterAutospacing="1"/>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9950">
      <w:bodyDiv w:val="1"/>
      <w:marLeft w:val="0"/>
      <w:marRight w:val="0"/>
      <w:marTop w:val="0"/>
      <w:marBottom w:val="0"/>
      <w:divBdr>
        <w:top w:val="none" w:sz="0" w:space="0" w:color="auto"/>
        <w:left w:val="none" w:sz="0" w:space="0" w:color="auto"/>
        <w:bottom w:val="none" w:sz="0" w:space="0" w:color="auto"/>
        <w:right w:val="none" w:sz="0" w:space="0" w:color="auto"/>
      </w:divBdr>
    </w:div>
    <w:div w:id="1427845839">
      <w:bodyDiv w:val="1"/>
      <w:marLeft w:val="0"/>
      <w:marRight w:val="0"/>
      <w:marTop w:val="0"/>
      <w:marBottom w:val="0"/>
      <w:divBdr>
        <w:top w:val="none" w:sz="0" w:space="0" w:color="auto"/>
        <w:left w:val="none" w:sz="0" w:space="0" w:color="auto"/>
        <w:bottom w:val="none" w:sz="0" w:space="0" w:color="auto"/>
        <w:right w:val="none" w:sz="0" w:space="0" w:color="auto"/>
      </w:divBdr>
    </w:div>
    <w:div w:id="1444961093">
      <w:bodyDiv w:val="1"/>
      <w:marLeft w:val="0"/>
      <w:marRight w:val="0"/>
      <w:marTop w:val="0"/>
      <w:marBottom w:val="0"/>
      <w:divBdr>
        <w:top w:val="none" w:sz="0" w:space="0" w:color="auto"/>
        <w:left w:val="none" w:sz="0" w:space="0" w:color="auto"/>
        <w:bottom w:val="none" w:sz="0" w:space="0" w:color="auto"/>
        <w:right w:val="none" w:sz="0" w:space="0" w:color="auto"/>
      </w:divBdr>
    </w:div>
    <w:div w:id="1501580715">
      <w:bodyDiv w:val="1"/>
      <w:marLeft w:val="0"/>
      <w:marRight w:val="0"/>
      <w:marTop w:val="0"/>
      <w:marBottom w:val="0"/>
      <w:divBdr>
        <w:top w:val="none" w:sz="0" w:space="0" w:color="auto"/>
        <w:left w:val="none" w:sz="0" w:space="0" w:color="auto"/>
        <w:bottom w:val="none" w:sz="0" w:space="0" w:color="auto"/>
        <w:right w:val="none" w:sz="0" w:space="0" w:color="auto"/>
      </w:divBdr>
    </w:div>
    <w:div w:id="1607075871">
      <w:bodyDiv w:val="1"/>
      <w:marLeft w:val="0"/>
      <w:marRight w:val="0"/>
      <w:marTop w:val="0"/>
      <w:marBottom w:val="0"/>
      <w:divBdr>
        <w:top w:val="none" w:sz="0" w:space="0" w:color="auto"/>
        <w:left w:val="none" w:sz="0" w:space="0" w:color="auto"/>
        <w:bottom w:val="none" w:sz="0" w:space="0" w:color="auto"/>
        <w:right w:val="none" w:sz="0" w:space="0" w:color="auto"/>
      </w:divBdr>
    </w:div>
    <w:div w:id="1970938484">
      <w:bodyDiv w:val="1"/>
      <w:marLeft w:val="0"/>
      <w:marRight w:val="0"/>
      <w:marTop w:val="0"/>
      <w:marBottom w:val="0"/>
      <w:divBdr>
        <w:top w:val="none" w:sz="0" w:space="0" w:color="auto"/>
        <w:left w:val="none" w:sz="0" w:space="0" w:color="auto"/>
        <w:bottom w:val="none" w:sz="0" w:space="0" w:color="auto"/>
        <w:right w:val="none" w:sz="0" w:space="0" w:color="auto"/>
      </w:divBdr>
    </w:div>
    <w:div w:id="20134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D85A-D686-456A-9266-44EC613C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6437</Words>
  <Characters>3670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Viktorija Karčiauskienė</cp:lastModifiedBy>
  <cp:revision>6</cp:revision>
  <cp:lastPrinted>2022-11-09T07:46:00Z</cp:lastPrinted>
  <dcterms:created xsi:type="dcterms:W3CDTF">2023-11-28T11:15:00Z</dcterms:created>
  <dcterms:modified xsi:type="dcterms:W3CDTF">2023-12-04T07:16:00Z</dcterms:modified>
</cp:coreProperties>
</file>