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4FD4" w14:textId="77777777" w:rsidR="001F6F3F" w:rsidRDefault="001F6F3F" w:rsidP="000957D4">
      <w:pPr>
        <w:spacing w:after="0" w:line="240" w:lineRule="auto"/>
        <w:ind w:right="282" w:firstLine="5245"/>
        <w:rPr>
          <w:rFonts w:eastAsia="Times New Roman"/>
          <w:b/>
          <w:bCs/>
          <w:color w:val="000000"/>
        </w:rPr>
      </w:pPr>
      <w:r>
        <w:rPr>
          <w:rFonts w:eastAsia="Times New Roman"/>
          <w:b/>
          <w:bCs/>
          <w:color w:val="000000"/>
        </w:rPr>
        <w:t>Projekto</w:t>
      </w:r>
    </w:p>
    <w:p w14:paraId="5490FDA0" w14:textId="39577E33" w:rsidR="00383146" w:rsidRDefault="001F6F3F" w:rsidP="000957D4">
      <w:pPr>
        <w:spacing w:after="0" w:line="240" w:lineRule="auto"/>
        <w:ind w:right="282" w:firstLine="5245"/>
        <w:rPr>
          <w:rFonts w:eastAsia="Times New Roman"/>
          <w:b/>
          <w:bCs/>
          <w:color w:val="000000"/>
        </w:rPr>
      </w:pPr>
      <w:r>
        <w:rPr>
          <w:rFonts w:eastAsia="Times New Roman"/>
          <w:b/>
          <w:bCs/>
          <w:color w:val="000000"/>
        </w:rPr>
        <w:t>l</w:t>
      </w:r>
      <w:r w:rsidR="00383146" w:rsidRPr="00383146">
        <w:rPr>
          <w:rFonts w:eastAsia="Times New Roman"/>
          <w:b/>
          <w:bCs/>
          <w:color w:val="000000"/>
        </w:rPr>
        <w:t>yginamasis variantas</w:t>
      </w:r>
    </w:p>
    <w:p w14:paraId="1393EA07" w14:textId="77777777" w:rsidR="001F6F3F" w:rsidRPr="00383146" w:rsidRDefault="001F6F3F" w:rsidP="001F6F3F">
      <w:pPr>
        <w:spacing w:after="0" w:line="240" w:lineRule="auto"/>
        <w:ind w:right="282"/>
        <w:rPr>
          <w:rFonts w:eastAsia="Times New Roman"/>
          <w:b/>
          <w:bCs/>
          <w:color w:val="000000"/>
        </w:rPr>
      </w:pPr>
    </w:p>
    <w:p w14:paraId="1FB195FB" w14:textId="280B4CE0" w:rsidR="00F11BF6" w:rsidRPr="00F11BF6" w:rsidRDefault="00F11BF6" w:rsidP="000957D4">
      <w:pPr>
        <w:spacing w:after="0" w:line="240" w:lineRule="auto"/>
        <w:ind w:right="282" w:firstLine="5245"/>
        <w:rPr>
          <w:rFonts w:eastAsia="Times New Roman"/>
          <w:color w:val="000000"/>
        </w:rPr>
      </w:pPr>
      <w:r w:rsidRPr="00F11BF6">
        <w:rPr>
          <w:rFonts w:eastAsia="Times New Roman"/>
          <w:color w:val="000000"/>
        </w:rPr>
        <w:t>PATVIRTINTA</w:t>
      </w:r>
    </w:p>
    <w:p w14:paraId="7AD388F5" w14:textId="08ADAFB3" w:rsidR="00F11BF6" w:rsidRPr="00F11BF6" w:rsidRDefault="00F11BF6" w:rsidP="000957D4">
      <w:pPr>
        <w:spacing w:after="0" w:line="240" w:lineRule="auto"/>
        <w:ind w:left="5040" w:right="282" w:firstLine="205"/>
        <w:jc w:val="both"/>
        <w:rPr>
          <w:rFonts w:eastAsia="Times New Roman"/>
          <w:color w:val="000000"/>
        </w:rPr>
      </w:pPr>
      <w:r>
        <w:rPr>
          <w:rFonts w:eastAsia="Times New Roman"/>
          <w:color w:val="000000"/>
        </w:rPr>
        <w:t>Kretingos</w:t>
      </w:r>
      <w:r w:rsidRPr="00F11BF6">
        <w:rPr>
          <w:rFonts w:eastAsia="Times New Roman"/>
          <w:color w:val="000000"/>
        </w:rPr>
        <w:t xml:space="preserve"> rajono savivaldybės tarybos</w:t>
      </w:r>
    </w:p>
    <w:p w14:paraId="726433A2" w14:textId="1E5A2B32" w:rsidR="00F11BF6" w:rsidRPr="00F11BF6" w:rsidRDefault="00F11BF6" w:rsidP="000957D4">
      <w:pPr>
        <w:spacing w:after="0" w:line="240" w:lineRule="auto"/>
        <w:ind w:left="5529" w:right="282" w:hanging="284"/>
        <w:jc w:val="both"/>
        <w:rPr>
          <w:rFonts w:eastAsia="Times New Roman"/>
          <w:color w:val="000000"/>
        </w:rPr>
      </w:pPr>
      <w:r w:rsidRPr="00F11BF6">
        <w:rPr>
          <w:rFonts w:eastAsia="Times New Roman"/>
          <w:color w:val="000000"/>
        </w:rPr>
        <w:t>202</w:t>
      </w:r>
      <w:r>
        <w:rPr>
          <w:rFonts w:eastAsia="Times New Roman"/>
          <w:color w:val="000000"/>
        </w:rPr>
        <w:t>2</w:t>
      </w:r>
      <w:r w:rsidRPr="00F11BF6">
        <w:rPr>
          <w:rFonts w:eastAsia="Times New Roman"/>
          <w:color w:val="000000"/>
        </w:rPr>
        <w:t xml:space="preserve"> m. </w:t>
      </w:r>
      <w:r>
        <w:rPr>
          <w:rFonts w:eastAsia="Times New Roman"/>
          <w:color w:val="000000"/>
        </w:rPr>
        <w:t>sausio</w:t>
      </w:r>
      <w:r w:rsidRPr="00F11BF6">
        <w:rPr>
          <w:rFonts w:eastAsia="Times New Roman"/>
          <w:color w:val="000000"/>
        </w:rPr>
        <w:t xml:space="preserve"> 27 d. sprendimu Nr. T</w:t>
      </w:r>
      <w:r>
        <w:rPr>
          <w:rFonts w:eastAsia="Times New Roman"/>
          <w:color w:val="000000"/>
        </w:rPr>
        <w:t>2</w:t>
      </w:r>
      <w:r w:rsidRPr="00F11BF6">
        <w:rPr>
          <w:rFonts w:eastAsia="Times New Roman"/>
          <w:color w:val="000000"/>
        </w:rPr>
        <w:t>-</w:t>
      </w:r>
      <w:r w:rsidR="000957D4">
        <w:rPr>
          <w:rFonts w:eastAsia="Times New Roman"/>
          <w:color w:val="000000"/>
        </w:rPr>
        <w:t>40</w:t>
      </w:r>
    </w:p>
    <w:p w14:paraId="091DCAD6" w14:textId="77777777" w:rsidR="00F11BF6" w:rsidRPr="00F11BF6" w:rsidRDefault="00F11BF6" w:rsidP="00F11BF6">
      <w:pPr>
        <w:spacing w:after="0" w:line="240" w:lineRule="auto"/>
        <w:rPr>
          <w:rFonts w:eastAsia="Times New Roman"/>
          <w:color w:val="000000"/>
          <w:szCs w:val="20"/>
        </w:rPr>
      </w:pPr>
    </w:p>
    <w:p w14:paraId="7BF9E290" w14:textId="722A1E48" w:rsidR="00F11BF6" w:rsidRPr="00F11BF6" w:rsidRDefault="00F11BF6" w:rsidP="00F11BF6">
      <w:pPr>
        <w:spacing w:after="0" w:line="240" w:lineRule="auto"/>
        <w:jc w:val="center"/>
        <w:rPr>
          <w:rFonts w:eastAsia="Times New Roman"/>
          <w:b/>
          <w:color w:val="000000"/>
          <w:lang w:eastAsia="lt-LT"/>
        </w:rPr>
      </w:pPr>
      <w:bookmarkStart w:id="0" w:name="_Hlk136333409"/>
      <w:r w:rsidRPr="00F11BF6">
        <w:rPr>
          <w:rFonts w:eastAsia="Times New Roman"/>
          <w:b/>
          <w:color w:val="000000"/>
          <w:lang w:eastAsia="lt-LT"/>
        </w:rPr>
        <w:t xml:space="preserve">NUOMPINIGIŲ UŽ </w:t>
      </w:r>
      <w:r>
        <w:rPr>
          <w:rFonts w:eastAsia="Times New Roman"/>
          <w:b/>
          <w:color w:val="000000"/>
          <w:lang w:eastAsia="lt-LT"/>
        </w:rPr>
        <w:t xml:space="preserve">KRETINGOS RAJONO </w:t>
      </w:r>
      <w:r w:rsidRPr="00F11BF6">
        <w:rPr>
          <w:rFonts w:eastAsia="Times New Roman"/>
          <w:b/>
          <w:color w:val="000000"/>
          <w:lang w:eastAsia="lt-LT"/>
        </w:rPr>
        <w:t>SAVIVALDYBĖS ILGALAIKIO</w:t>
      </w:r>
      <w:r>
        <w:rPr>
          <w:rFonts w:eastAsia="Times New Roman"/>
          <w:b/>
          <w:color w:val="000000"/>
          <w:lang w:eastAsia="lt-LT"/>
        </w:rPr>
        <w:t xml:space="preserve"> MATERIALIOJO</w:t>
      </w:r>
      <w:r w:rsidRPr="00F11BF6">
        <w:rPr>
          <w:rFonts w:eastAsia="Times New Roman"/>
          <w:b/>
          <w:color w:val="000000"/>
          <w:lang w:eastAsia="lt-LT"/>
        </w:rPr>
        <w:t xml:space="preserve"> IR TRUMPALAIKIO MATERIALIOJO TURTO NUOMĄ SKAIČIAVIMO </w:t>
      </w:r>
      <w:r>
        <w:rPr>
          <w:rFonts w:eastAsia="Times New Roman"/>
          <w:b/>
          <w:color w:val="000000"/>
          <w:lang w:eastAsia="lt-LT"/>
        </w:rPr>
        <w:t>TVARKOS APRAŠAS</w:t>
      </w:r>
    </w:p>
    <w:bookmarkEnd w:id="0"/>
    <w:p w14:paraId="3C75B928" w14:textId="77777777" w:rsidR="00F11BF6" w:rsidRPr="00F11BF6" w:rsidRDefault="00F11BF6" w:rsidP="00CC0613">
      <w:pPr>
        <w:spacing w:after="0" w:line="240" w:lineRule="auto"/>
        <w:rPr>
          <w:rFonts w:eastAsia="Times New Roman"/>
          <w:b/>
          <w:color w:val="000000"/>
          <w:lang w:eastAsia="lt-LT"/>
        </w:rPr>
      </w:pPr>
    </w:p>
    <w:p w14:paraId="0B4CFD57" w14:textId="59F6F57B"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1. Nuompinigių už </w:t>
      </w:r>
      <w:r>
        <w:rPr>
          <w:rFonts w:eastAsia="Times New Roman"/>
          <w:color w:val="000000"/>
          <w:lang w:eastAsia="lt-LT"/>
        </w:rPr>
        <w:t xml:space="preserve">Kretingos rajono </w:t>
      </w:r>
      <w:r w:rsidRPr="00F11BF6">
        <w:rPr>
          <w:rFonts w:eastAsia="Times New Roman"/>
          <w:color w:val="000000"/>
          <w:lang w:eastAsia="lt-LT"/>
        </w:rPr>
        <w:t>savivaldybės ilgalaikio</w:t>
      </w:r>
      <w:r>
        <w:rPr>
          <w:rFonts w:eastAsia="Times New Roman"/>
          <w:color w:val="000000"/>
          <w:lang w:eastAsia="lt-LT"/>
        </w:rPr>
        <w:t xml:space="preserve"> materialiojo</w:t>
      </w:r>
      <w:r w:rsidRPr="00F11BF6">
        <w:rPr>
          <w:rFonts w:eastAsia="Times New Roman"/>
          <w:color w:val="000000"/>
          <w:lang w:eastAsia="lt-LT"/>
        </w:rPr>
        <w:t xml:space="preserve"> ir trumpalaikio materialiojo turto nuomą skaičiavimo </w:t>
      </w:r>
      <w:r>
        <w:rPr>
          <w:rFonts w:eastAsia="Times New Roman"/>
          <w:color w:val="000000"/>
          <w:lang w:eastAsia="lt-LT"/>
        </w:rPr>
        <w:t>tvarkos aprašas</w:t>
      </w:r>
      <w:r w:rsidRPr="00F11BF6">
        <w:rPr>
          <w:rFonts w:eastAsia="Times New Roman"/>
          <w:color w:val="000000"/>
          <w:lang w:eastAsia="lt-LT"/>
        </w:rPr>
        <w:t xml:space="preserve"> (toliau – </w:t>
      </w:r>
      <w:r w:rsidR="004317F6">
        <w:rPr>
          <w:rFonts w:eastAsia="Times New Roman"/>
          <w:color w:val="000000"/>
          <w:lang w:eastAsia="lt-LT"/>
        </w:rPr>
        <w:t>Tvarkos a</w:t>
      </w:r>
      <w:r>
        <w:rPr>
          <w:rFonts w:eastAsia="Times New Roman"/>
          <w:color w:val="000000"/>
          <w:lang w:eastAsia="lt-LT"/>
        </w:rPr>
        <w:t>prašas</w:t>
      </w:r>
      <w:r w:rsidRPr="00F11BF6">
        <w:rPr>
          <w:rFonts w:eastAsia="Times New Roman"/>
          <w:color w:val="000000"/>
          <w:lang w:eastAsia="lt-LT"/>
        </w:rPr>
        <w:t xml:space="preserve">) nustato </w:t>
      </w:r>
      <w:r>
        <w:rPr>
          <w:rFonts w:eastAsia="Times New Roman"/>
          <w:color w:val="000000"/>
          <w:lang w:eastAsia="lt-LT"/>
        </w:rPr>
        <w:t>Kretingos</w:t>
      </w:r>
      <w:r w:rsidRPr="00F11BF6">
        <w:rPr>
          <w:rFonts w:eastAsia="Times New Roman"/>
          <w:color w:val="000000"/>
          <w:lang w:eastAsia="lt-LT"/>
        </w:rPr>
        <w:t xml:space="preserve"> rajono savivaldybės (toliau – Savivaldybė) ilgalaikio </w:t>
      </w:r>
      <w:r>
        <w:rPr>
          <w:rFonts w:eastAsia="Times New Roman"/>
          <w:color w:val="000000"/>
          <w:lang w:eastAsia="lt-LT"/>
        </w:rPr>
        <w:t xml:space="preserve">materialiojo </w:t>
      </w:r>
      <w:r w:rsidRPr="00F11BF6">
        <w:rPr>
          <w:rFonts w:eastAsia="Times New Roman"/>
          <w:color w:val="000000"/>
          <w:lang w:eastAsia="lt-LT"/>
        </w:rPr>
        <w:t>ir trumpalaikio materialiojo turto (toliau – turtas) nuompinigių dydžio skaičiavimo tvarką.</w:t>
      </w:r>
    </w:p>
    <w:p w14:paraId="239FA2DD" w14:textId="26D681F4"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2. </w:t>
      </w:r>
      <w:r w:rsidR="004317F6">
        <w:rPr>
          <w:rFonts w:eastAsia="Times New Roman"/>
          <w:color w:val="000000"/>
          <w:lang w:eastAsia="lt-LT"/>
        </w:rPr>
        <w:t>Tvarkos a</w:t>
      </w:r>
      <w:r>
        <w:rPr>
          <w:rFonts w:eastAsia="Times New Roman"/>
          <w:color w:val="000000"/>
          <w:lang w:eastAsia="lt-LT"/>
        </w:rPr>
        <w:t>praše</w:t>
      </w:r>
      <w:r w:rsidRPr="00F11BF6">
        <w:rPr>
          <w:rFonts w:eastAsia="Times New Roman"/>
          <w:color w:val="000000"/>
          <w:lang w:eastAsia="lt-LT"/>
        </w:rPr>
        <w:t xml:space="preserve"> vartojamos sąvokos suprantamos taip, kaip jos apibrėžtos arba yra vartojamos Lietuvos Respublikos valstybės ir savivaldybių turto valdymo, naudojimo ir disponavimo juo įstatyme.</w:t>
      </w:r>
    </w:p>
    <w:p w14:paraId="3E37AADD" w14:textId="7DFE16FA"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3. </w:t>
      </w:r>
      <w:r w:rsidR="004317F6">
        <w:rPr>
          <w:rFonts w:eastAsia="Times New Roman"/>
          <w:color w:val="000000"/>
          <w:lang w:eastAsia="lt-LT"/>
        </w:rPr>
        <w:t>Tvarkos a</w:t>
      </w:r>
      <w:r>
        <w:rPr>
          <w:rFonts w:eastAsia="Times New Roman"/>
          <w:color w:val="000000"/>
          <w:lang w:eastAsia="lt-LT"/>
        </w:rPr>
        <w:t>prašo</w:t>
      </w:r>
      <w:r w:rsidRPr="00F11BF6">
        <w:rPr>
          <w:rFonts w:eastAsia="Times New Roman"/>
          <w:color w:val="000000"/>
          <w:lang w:eastAsia="lt-LT"/>
        </w:rPr>
        <w:t xml:space="preserve"> nustatyta tvarka apskaičiuojama:</w:t>
      </w:r>
    </w:p>
    <w:p w14:paraId="78A2AB0F" w14:textId="77777777"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3.1. metinis turto nuompinigių dydis, kai turtas teisės aktų nustatytais atvejais išnuomojamas be konkurso;</w:t>
      </w:r>
    </w:p>
    <w:p w14:paraId="1389694B" w14:textId="77777777"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3.2. metinis pradinis turto nuompinigių dydis, kai turtas teisės aktų nustatytais atvejais išnuomojamas viešojo nuomos konkurso būdu.</w:t>
      </w:r>
    </w:p>
    <w:p w14:paraId="19992C0E" w14:textId="77777777"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4. </w:t>
      </w:r>
      <w:r w:rsidRPr="00F11BF6">
        <w:rPr>
          <w:rFonts w:eastAsia="Times New Roman"/>
          <w:lang w:eastAsia="lt-LT"/>
        </w:rPr>
        <w:t xml:space="preserve">Turto valdytojas </w:t>
      </w:r>
      <w:r w:rsidRPr="00F11BF6">
        <w:rPr>
          <w:rFonts w:eastAsia="Times New Roman"/>
          <w:color w:val="000000"/>
          <w:lang w:eastAsia="lt-LT"/>
        </w:rPr>
        <w:t xml:space="preserve">išnuomojamo turto </w:t>
      </w:r>
      <w:r w:rsidRPr="00F11BF6">
        <w:rPr>
          <w:rFonts w:eastAsia="Times New Roman"/>
          <w:bCs/>
          <w:color w:val="000000"/>
          <w:lang w:eastAsia="lt-LT"/>
        </w:rPr>
        <w:t xml:space="preserve">metinį </w:t>
      </w:r>
      <w:r w:rsidRPr="00F11BF6">
        <w:rPr>
          <w:rFonts w:eastAsia="Times New Roman"/>
          <w:color w:val="000000"/>
          <w:lang w:eastAsia="lt-LT"/>
        </w:rPr>
        <w:t>nuompinigių dydį arba pradinį nuompinigių dydį (toliau kartu – nuompinigių dydis) nustato:</w:t>
      </w:r>
    </w:p>
    <w:p w14:paraId="243BC557" w14:textId="77777777"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4.1. turto vertintojų nustatyta ir pateikta turto nuomos verte (nuompinigių dydžiu);</w:t>
      </w:r>
    </w:p>
    <w:p w14:paraId="240E738C" w14:textId="6DE507F1" w:rsidR="00F11BF6" w:rsidRPr="00F11BF6" w:rsidRDefault="00F11BF6" w:rsidP="00F11BF6">
      <w:pPr>
        <w:spacing w:after="0" w:line="240" w:lineRule="auto"/>
        <w:ind w:firstLine="720"/>
        <w:jc w:val="both"/>
        <w:rPr>
          <w:rFonts w:eastAsia="Times New Roman"/>
          <w:color w:val="000000"/>
          <w:lang w:eastAsia="lt-LT"/>
        </w:rPr>
      </w:pPr>
      <w:r w:rsidRPr="00F11BF6">
        <w:rPr>
          <w:rFonts w:eastAsia="Times New Roman"/>
          <w:color w:val="000000"/>
          <w:lang w:eastAsia="lt-LT"/>
        </w:rPr>
        <w:t xml:space="preserve">4.2. </w:t>
      </w:r>
      <w:r w:rsidR="004317F6">
        <w:rPr>
          <w:rFonts w:eastAsia="Times New Roman"/>
          <w:color w:val="000000"/>
          <w:lang w:eastAsia="lt-LT"/>
        </w:rPr>
        <w:t>Tvarkos a</w:t>
      </w:r>
      <w:r>
        <w:rPr>
          <w:rFonts w:eastAsia="Times New Roman"/>
          <w:color w:val="000000"/>
          <w:lang w:eastAsia="lt-LT"/>
        </w:rPr>
        <w:t>praše</w:t>
      </w:r>
      <w:r w:rsidRPr="00F11BF6">
        <w:rPr>
          <w:rFonts w:eastAsia="Times New Roman"/>
          <w:color w:val="000000"/>
          <w:lang w:eastAsia="lt-LT"/>
        </w:rPr>
        <w:t xml:space="preserve"> nurodytomis turto nuompinigių dydžio nustatymo formulėmis.</w:t>
      </w:r>
    </w:p>
    <w:p w14:paraId="59738CA3" w14:textId="346AC17A"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5. Metinis Savivaldybės nekilnojamojo turto nuompinigių dydis apskaičiuojamas pagal formulę N = V x Kv x Ki</w:t>
      </w:r>
      <w:r w:rsidRPr="00F11BF6">
        <w:rPr>
          <w:rFonts w:eastAsia="Times New Roman"/>
          <w:lang w:eastAsia="lt-LT"/>
        </w:rPr>
        <w:t xml:space="preserve"> </w:t>
      </w:r>
      <w:r w:rsidRPr="00F11BF6">
        <w:rPr>
          <w:rFonts w:eastAsia="Times New Roman"/>
          <w:color w:val="000000"/>
          <w:lang w:eastAsia="lt-LT"/>
        </w:rPr>
        <w:t>/T, kur:</w:t>
      </w:r>
    </w:p>
    <w:p w14:paraId="40E72DB2"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5.1. N – metinis Savivaldybės nekilnojamojo turto vieno kubinio metro nuompinigių dydis;</w:t>
      </w:r>
    </w:p>
    <w:p w14:paraId="7FD0CF64"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5.2. V – Savivaldybės nekilnojamojo turto vieno kubinio metro vidutinė statybos vertė, neskaičiuojant fizinio nusidėvėjimo, iki kiekvienų kalendorinių metų vasario 1 dienos tvirtinama valstybės įmonės Registrų centro direktoriaus įsakymu;</w:t>
      </w:r>
    </w:p>
    <w:p w14:paraId="08B12558"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5.3. Kv – vietovės pataisos koeficientas pagal turto paskirtį ir vietovę, iki kiekvienų kalendorinių metų vasario 1 dienos tvirtinamas valstybės įmonės Registrų centro direktoriaus įsakymu;</w:t>
      </w:r>
    </w:p>
    <w:p w14:paraId="0EF257BF"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 xml:space="preserve">5.4. Ki </w:t>
      </w:r>
      <w:r w:rsidRPr="00F11BF6">
        <w:rPr>
          <w:rFonts w:eastAsia="Times New Roman"/>
          <w:lang w:eastAsia="lt-LT"/>
        </w:rPr>
        <w:t xml:space="preserve">– turto valdytojo motyvuotai </w:t>
      </w:r>
      <w:r w:rsidRPr="00F11BF6">
        <w:rPr>
          <w:rFonts w:eastAsia="Times New Roman"/>
          <w:color w:val="000000"/>
          <w:lang w:eastAsia="lt-LT"/>
        </w:rPr>
        <w:t>parinktas nuompinigių dydžio koregavimo koeficientas, priklausomai nuo turto būklės:</w:t>
      </w:r>
    </w:p>
    <w:p w14:paraId="021CE566"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5.4.1. Ki = 1–1,3 (taikomas labai geros ir geros būklės turtui, kurio nusidėvėjimas neviršija 30 proc.);</w:t>
      </w:r>
    </w:p>
    <w:p w14:paraId="29993793"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5.4.2. Ki = 1–0,7 (taikomas vidutinės būklės turtui, kurio nusidėvėjimas viršija 30 proc., bet neviršija 60 proc.);</w:t>
      </w:r>
    </w:p>
    <w:p w14:paraId="75F5BABF"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olor w:val="000000"/>
          <w:lang w:eastAsia="lt-LT"/>
        </w:rPr>
      </w:pPr>
      <w:r w:rsidRPr="00F11BF6">
        <w:rPr>
          <w:rFonts w:eastAsia="Times New Roman"/>
          <w:color w:val="000000"/>
          <w:lang w:eastAsia="lt-LT"/>
        </w:rPr>
        <w:t>5.4.3. Ki = 0,7–0,5 (taikomas patenkinamos ir blogos būklės turtui, kurio nusidėvėjimas viršija 60 proc.);</w:t>
      </w:r>
    </w:p>
    <w:p w14:paraId="7639D2DF" w14:textId="23E34146" w:rsidR="00F11BF6" w:rsidRPr="00A45EBB"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lang w:eastAsia="lt-LT"/>
        </w:rPr>
      </w:pPr>
      <w:r w:rsidRPr="00F11BF6">
        <w:rPr>
          <w:rFonts w:eastAsia="Times New Roman"/>
          <w:color w:val="000000"/>
          <w:lang w:eastAsia="lt-LT"/>
        </w:rPr>
        <w:t>5.</w:t>
      </w:r>
      <w:r w:rsidR="00651A03">
        <w:rPr>
          <w:rFonts w:eastAsia="Times New Roman"/>
          <w:color w:val="000000"/>
          <w:lang w:eastAsia="lt-LT"/>
        </w:rPr>
        <w:t>5</w:t>
      </w:r>
      <w:r w:rsidRPr="00F11BF6">
        <w:rPr>
          <w:rFonts w:eastAsia="Times New Roman"/>
          <w:color w:val="000000"/>
          <w:lang w:eastAsia="lt-LT"/>
        </w:rPr>
        <w:t xml:space="preserve">. T – </w:t>
      </w:r>
      <w:bookmarkStart w:id="1" w:name="_Hlk92698004"/>
      <w:r w:rsidRPr="00F11BF6">
        <w:rPr>
          <w:rFonts w:eastAsia="Times New Roman"/>
          <w:color w:val="000000"/>
          <w:lang w:eastAsia="lt-LT"/>
        </w:rPr>
        <w:t xml:space="preserve">maksimalus Savivaldybės nekilnojamojo turto nusidėvėjimo normatyvas, parinktas pagal </w:t>
      </w:r>
      <w:r w:rsidRPr="00383146">
        <w:rPr>
          <w:rFonts w:eastAsia="Times New Roman"/>
          <w:strike/>
          <w:color w:val="000000"/>
          <w:lang w:eastAsia="lt-LT"/>
        </w:rPr>
        <w:t xml:space="preserve">maksimalius </w:t>
      </w:r>
      <w:bookmarkStart w:id="2" w:name="_Hlk92706162"/>
      <w:r w:rsidRPr="00383146">
        <w:rPr>
          <w:rFonts w:eastAsia="Times New Roman"/>
          <w:strike/>
          <w:lang w:eastAsia="lt-LT"/>
        </w:rPr>
        <w:t xml:space="preserve">Savivaldybės ilgalaikio materialiojo turto nusidėvėjimo normatyvus, </w:t>
      </w:r>
      <w:r w:rsidR="002D0D32" w:rsidRPr="00383146">
        <w:rPr>
          <w:rFonts w:eastAsia="Times New Roman"/>
          <w:strike/>
          <w:lang w:eastAsia="lt-LT"/>
        </w:rPr>
        <w:t xml:space="preserve">patvirtintus </w:t>
      </w:r>
      <w:r w:rsidR="005F3873" w:rsidRPr="00383146">
        <w:rPr>
          <w:rFonts w:eastAsia="Times New Roman"/>
          <w:strike/>
          <w:lang w:eastAsia="lt-LT"/>
        </w:rPr>
        <w:t>Kretingos rajono savivaldybės tarybos</w:t>
      </w:r>
      <w:r w:rsidR="002D0D32" w:rsidRPr="00383146">
        <w:rPr>
          <w:rFonts w:eastAsia="Times New Roman"/>
          <w:strike/>
          <w:lang w:eastAsia="lt-LT"/>
        </w:rPr>
        <w:t xml:space="preserve"> sprendimu</w:t>
      </w:r>
      <w:bookmarkEnd w:id="1"/>
      <w:bookmarkEnd w:id="2"/>
      <w:r w:rsidR="00383146">
        <w:rPr>
          <w:rFonts w:eastAsia="Times New Roman"/>
          <w:lang w:eastAsia="lt-LT"/>
        </w:rPr>
        <w:t xml:space="preserve"> </w:t>
      </w:r>
      <w:r w:rsidR="00383146" w:rsidRPr="00383146">
        <w:rPr>
          <w:rFonts w:eastAsia="Times New Roman"/>
          <w:b/>
          <w:bCs/>
          <w:lang w:eastAsia="lt-LT"/>
        </w:rPr>
        <w:t>Ilgalaikio materialiojo turto maksimalius nusidėvėjimo normatyvus, nurodytus Tvarkos aprašo priede</w:t>
      </w:r>
      <w:r w:rsidRPr="00A45EBB">
        <w:rPr>
          <w:rFonts w:eastAsia="Times New Roman"/>
          <w:lang w:eastAsia="lt-LT"/>
        </w:rPr>
        <w:t>.</w:t>
      </w:r>
    </w:p>
    <w:p w14:paraId="235BAA6D"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6. Mėnesinis Savivaldybės nekilnojamojo turto vieno kubinio metro nuompinigių dydis apskaičiuojamas pagal formulę Nmk = N/12, kur:</w:t>
      </w:r>
    </w:p>
    <w:p w14:paraId="0EA5E35A" w14:textId="77777777"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6.1. Nmk – mėnesinis Savivaldybės nekilnojamojo turto vieno kubinio metro nuompinigių dydis;</w:t>
      </w:r>
    </w:p>
    <w:p w14:paraId="0D0FBFAD" w14:textId="77045565" w:rsid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lastRenderedPageBreak/>
        <w:t>6.2. N – metinis Savivaldybės nekilnojamojo turto vieno kubinio metro nuompinigių dydis.</w:t>
      </w:r>
    </w:p>
    <w:p w14:paraId="7C4D0D68" w14:textId="583087ED" w:rsidR="00651A03"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7. Perskaičiuojant Savivaldybės nekilnojamojo turto vieno kubinio metro nuompinigių dydį į vieno kvadratinio metro nuompinigių dydį, vieno kubinio metro nuompinigių dydis dauginamas iš patalpos aukščio.</w:t>
      </w:r>
    </w:p>
    <w:p w14:paraId="30390A5E" w14:textId="4C9CF4C1"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8</w:t>
      </w:r>
      <w:r w:rsidR="00F11BF6" w:rsidRPr="00F11BF6">
        <w:rPr>
          <w:rFonts w:eastAsia="Times New Roman"/>
          <w:color w:val="000000"/>
          <w:lang w:eastAsia="lt-LT"/>
        </w:rPr>
        <w:t xml:space="preserve">. Metinis Savivaldybės kilnojamojo turto, išskyrus </w:t>
      </w:r>
      <w:r w:rsidR="004317F6">
        <w:rPr>
          <w:rFonts w:eastAsia="Times New Roman"/>
          <w:color w:val="000000"/>
          <w:lang w:eastAsia="lt-LT"/>
        </w:rPr>
        <w:t>Tvarkos a</w:t>
      </w:r>
      <w:r w:rsidR="00F11BF6">
        <w:rPr>
          <w:rFonts w:eastAsia="Times New Roman"/>
          <w:color w:val="000000"/>
          <w:lang w:eastAsia="lt-LT"/>
        </w:rPr>
        <w:t>prašo</w:t>
      </w:r>
      <w:r w:rsidR="00F11BF6" w:rsidRPr="00F11BF6">
        <w:rPr>
          <w:rFonts w:eastAsia="Times New Roman"/>
          <w:color w:val="000000"/>
          <w:lang w:eastAsia="lt-LT"/>
        </w:rPr>
        <w:t xml:space="preserve"> 10 punkte nurodytą atvejį, nuompinigių dydis apskaičiuojamas pagal formulę N = L x 1/T x Ki, kur:</w:t>
      </w:r>
    </w:p>
    <w:p w14:paraId="174F8CAC" w14:textId="3F718D85"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8</w:t>
      </w:r>
      <w:r w:rsidR="00F11BF6" w:rsidRPr="00F11BF6">
        <w:rPr>
          <w:rFonts w:eastAsia="Times New Roman"/>
          <w:color w:val="000000"/>
          <w:lang w:eastAsia="lt-LT"/>
        </w:rPr>
        <w:t>.1. N – metinis Savivaldybės kilnojamojo turto nuompinigių dydis;</w:t>
      </w:r>
    </w:p>
    <w:p w14:paraId="61D451C3" w14:textId="2CC0E3A2"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8</w:t>
      </w:r>
      <w:r w:rsidR="00F11BF6" w:rsidRPr="00F11BF6">
        <w:rPr>
          <w:rFonts w:eastAsia="Times New Roman"/>
          <w:color w:val="000000"/>
          <w:lang w:eastAsia="lt-LT"/>
        </w:rPr>
        <w:t>.2. L – išnuomojamo Savivaldybės kilnojamojo turto įsigijimo kaina;</w:t>
      </w:r>
    </w:p>
    <w:p w14:paraId="29519748" w14:textId="1C23174F"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8</w:t>
      </w:r>
      <w:r w:rsidR="00F11BF6" w:rsidRPr="00F11BF6">
        <w:rPr>
          <w:rFonts w:eastAsia="Times New Roman"/>
          <w:color w:val="000000"/>
          <w:lang w:eastAsia="lt-LT"/>
        </w:rPr>
        <w:t xml:space="preserve">.3. T – </w:t>
      </w:r>
      <w:r w:rsidR="002D0D32" w:rsidRPr="00F11BF6">
        <w:rPr>
          <w:rFonts w:eastAsia="Times New Roman"/>
          <w:color w:val="000000"/>
          <w:lang w:eastAsia="lt-LT"/>
        </w:rPr>
        <w:t xml:space="preserve">maksimalus Savivaldybės nekilnojamojo turto nusidėvėjimo normatyvas, parinktas pagal </w:t>
      </w:r>
      <w:r w:rsidR="002D0D32" w:rsidRPr="00684F7A">
        <w:rPr>
          <w:rFonts w:eastAsia="Times New Roman"/>
          <w:strike/>
          <w:color w:val="000000"/>
          <w:lang w:eastAsia="lt-LT"/>
        </w:rPr>
        <w:t xml:space="preserve">maksimalius </w:t>
      </w:r>
      <w:r w:rsidR="005F3873" w:rsidRPr="00684F7A">
        <w:rPr>
          <w:rFonts w:eastAsia="Times New Roman"/>
          <w:strike/>
          <w:lang w:eastAsia="lt-LT"/>
        </w:rPr>
        <w:t>Savivaldybės ilgalaikio materialiojo turto nusidėvėjimo normatyvus, patvirtintus Kretingos rajono savivaldybės tarybos sprendimu</w:t>
      </w:r>
      <w:r w:rsidR="00684F7A">
        <w:rPr>
          <w:rFonts w:eastAsia="Times New Roman"/>
          <w:lang w:eastAsia="lt-LT"/>
        </w:rPr>
        <w:t xml:space="preserve"> </w:t>
      </w:r>
      <w:r w:rsidR="00684F7A" w:rsidRPr="00684F7A">
        <w:rPr>
          <w:rFonts w:eastAsia="Times New Roman"/>
          <w:b/>
          <w:bCs/>
          <w:lang w:eastAsia="lt-LT"/>
        </w:rPr>
        <w:t>Ilgalaikio materialiojo turto maksimalius nusidėvėjimo normatyvus, nurodytus Tvarkos aprašo priede</w:t>
      </w:r>
      <w:r w:rsidR="00F11BF6" w:rsidRPr="00F11BF6">
        <w:rPr>
          <w:rFonts w:eastAsia="Times New Roman"/>
          <w:color w:val="000000"/>
          <w:lang w:eastAsia="lt-LT"/>
        </w:rPr>
        <w:t>;</w:t>
      </w:r>
    </w:p>
    <w:p w14:paraId="3A257F25" w14:textId="228C9A6B"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8</w:t>
      </w:r>
      <w:r w:rsidR="00F11BF6" w:rsidRPr="00F11BF6">
        <w:rPr>
          <w:rFonts w:eastAsia="Times New Roman"/>
          <w:color w:val="000000"/>
          <w:lang w:eastAsia="lt-LT"/>
        </w:rPr>
        <w:t xml:space="preserve">.4. Ki – </w:t>
      </w:r>
      <w:r w:rsidR="00F11BF6" w:rsidRPr="00F11BF6">
        <w:rPr>
          <w:rFonts w:eastAsia="Times New Roman"/>
          <w:lang w:eastAsia="lt-LT"/>
        </w:rPr>
        <w:t xml:space="preserve">turto valdytojo, </w:t>
      </w:r>
      <w:r w:rsidR="00F11BF6" w:rsidRPr="00F11BF6">
        <w:rPr>
          <w:rFonts w:eastAsia="Times New Roman"/>
          <w:color w:val="000000"/>
          <w:lang w:eastAsia="lt-LT"/>
        </w:rPr>
        <w:t xml:space="preserve">priklausomai nuo turto būklės, nurodytos </w:t>
      </w:r>
      <w:r w:rsidR="004317F6">
        <w:rPr>
          <w:rFonts w:eastAsia="Times New Roman"/>
          <w:color w:val="000000"/>
          <w:lang w:eastAsia="lt-LT"/>
        </w:rPr>
        <w:t>Tvarkos a</w:t>
      </w:r>
      <w:r w:rsidR="00F11BF6">
        <w:rPr>
          <w:rFonts w:eastAsia="Times New Roman"/>
          <w:color w:val="000000"/>
          <w:lang w:eastAsia="lt-LT"/>
        </w:rPr>
        <w:t>prašo</w:t>
      </w:r>
      <w:r w:rsidR="00F11BF6" w:rsidRPr="00F11BF6">
        <w:rPr>
          <w:rFonts w:eastAsia="Times New Roman"/>
          <w:color w:val="000000"/>
          <w:lang w:eastAsia="lt-LT"/>
        </w:rPr>
        <w:t xml:space="preserve"> 5.4 papunktyje, motyvuotai parinktas nuompinigių dydžio koregavimo koeficientas.</w:t>
      </w:r>
    </w:p>
    <w:p w14:paraId="4B8B8E0D" w14:textId="107D307C"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9</w:t>
      </w:r>
      <w:r w:rsidR="00F11BF6" w:rsidRPr="00F11BF6">
        <w:rPr>
          <w:rFonts w:eastAsia="Times New Roman"/>
          <w:color w:val="000000"/>
          <w:lang w:eastAsia="lt-LT"/>
        </w:rPr>
        <w:t>. Mėnesinis Savivaldybės kilnojamojo turto nuompinigių dydis apskaičiuojamas pagal formulę Nm = N /12, kur:</w:t>
      </w:r>
    </w:p>
    <w:p w14:paraId="43D559DF" w14:textId="49EB72B6"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9</w:t>
      </w:r>
      <w:r w:rsidR="00F11BF6" w:rsidRPr="00F11BF6">
        <w:rPr>
          <w:rFonts w:eastAsia="Times New Roman"/>
          <w:color w:val="000000"/>
          <w:lang w:eastAsia="lt-LT"/>
        </w:rPr>
        <w:t>.1. Nm – mėnesinis Savivaldybės kilnojamojo turto nuompinigių dydis;</w:t>
      </w:r>
    </w:p>
    <w:p w14:paraId="6AE58EFC" w14:textId="5A3CB877"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9</w:t>
      </w:r>
      <w:r w:rsidR="00F11BF6" w:rsidRPr="00F11BF6">
        <w:rPr>
          <w:rFonts w:eastAsia="Times New Roman"/>
          <w:color w:val="000000"/>
          <w:lang w:eastAsia="lt-LT"/>
        </w:rPr>
        <w:t>.2. N – metinis Savivaldybės kilnojamojo turto nuompinigių dydis.</w:t>
      </w:r>
    </w:p>
    <w:p w14:paraId="03AB44A0" w14:textId="73CC7B3B"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10</w:t>
      </w:r>
      <w:r w:rsidR="00F11BF6" w:rsidRPr="00F11BF6">
        <w:rPr>
          <w:rFonts w:eastAsia="Times New Roman"/>
          <w:color w:val="000000"/>
          <w:lang w:eastAsia="lt-LT"/>
        </w:rPr>
        <w:t>. Metinis Savivaldybės kilnojamojo turto nuompinigių dydis, esant visiškam normatyviniam turto nusidėvėjimui, apskaičiuojamas pagal formulę N = L x Ki, kur:</w:t>
      </w:r>
    </w:p>
    <w:p w14:paraId="5C7450F7" w14:textId="792E2AA7"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10</w:t>
      </w:r>
      <w:r w:rsidR="00F11BF6" w:rsidRPr="00F11BF6">
        <w:rPr>
          <w:rFonts w:eastAsia="Times New Roman"/>
          <w:color w:val="000000"/>
          <w:lang w:eastAsia="lt-LT"/>
        </w:rPr>
        <w:t>.1. N – metinis Savivaldybės kilnojamojo turto nuompinigių dydis;</w:t>
      </w:r>
    </w:p>
    <w:p w14:paraId="7552FF53" w14:textId="54326E8D"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10</w:t>
      </w:r>
      <w:r w:rsidR="00F11BF6" w:rsidRPr="00F11BF6">
        <w:rPr>
          <w:rFonts w:eastAsia="Times New Roman"/>
          <w:color w:val="000000"/>
          <w:lang w:eastAsia="lt-LT"/>
        </w:rPr>
        <w:t>.2. L – esant visiškam normatyviniam turto nusidėvėjimui išnuomojamo Savivaldybės kilnojamojo turto įsigijimo kaina, prilyginta 30 procentų naujo turto įsigijimo kainos;</w:t>
      </w:r>
    </w:p>
    <w:p w14:paraId="0C1A0D10" w14:textId="38842387" w:rsidR="00F11BF6" w:rsidRPr="00F11BF6" w:rsidRDefault="00651A03"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Pr>
          <w:rFonts w:eastAsia="Times New Roman"/>
          <w:color w:val="000000"/>
          <w:lang w:eastAsia="lt-LT"/>
        </w:rPr>
        <w:t>10</w:t>
      </w:r>
      <w:r w:rsidR="00F11BF6" w:rsidRPr="00F11BF6">
        <w:rPr>
          <w:rFonts w:eastAsia="Times New Roman"/>
          <w:color w:val="000000"/>
          <w:lang w:eastAsia="lt-LT"/>
        </w:rPr>
        <w:t xml:space="preserve">.3. Ki – </w:t>
      </w:r>
      <w:r w:rsidR="00F11BF6" w:rsidRPr="00F11BF6">
        <w:rPr>
          <w:rFonts w:eastAsia="Times New Roman"/>
          <w:lang w:eastAsia="lt-LT"/>
        </w:rPr>
        <w:t xml:space="preserve">turto valdytojo, </w:t>
      </w:r>
      <w:r w:rsidR="00F11BF6" w:rsidRPr="00F11BF6">
        <w:rPr>
          <w:rFonts w:eastAsia="Times New Roman"/>
          <w:color w:val="000000"/>
          <w:lang w:eastAsia="lt-LT"/>
        </w:rPr>
        <w:t xml:space="preserve">priklausomai nuo turto būklės, nurodytos </w:t>
      </w:r>
      <w:r w:rsidR="004317F6">
        <w:rPr>
          <w:rFonts w:eastAsia="Times New Roman"/>
          <w:color w:val="000000"/>
          <w:lang w:eastAsia="lt-LT"/>
        </w:rPr>
        <w:t>Tvarkos a</w:t>
      </w:r>
      <w:r w:rsidR="00BA2C9D">
        <w:rPr>
          <w:rFonts w:eastAsia="Times New Roman"/>
          <w:color w:val="000000"/>
          <w:lang w:eastAsia="lt-LT"/>
        </w:rPr>
        <w:t>prašo</w:t>
      </w:r>
      <w:r w:rsidR="00F11BF6" w:rsidRPr="00F11BF6">
        <w:rPr>
          <w:rFonts w:eastAsia="Times New Roman"/>
          <w:color w:val="000000"/>
          <w:lang w:eastAsia="lt-LT"/>
        </w:rPr>
        <w:t xml:space="preserve"> 5.4 papunktyje, motyvuotai parinktas nuompinigių dydžio koregavimo koeficientas.</w:t>
      </w:r>
    </w:p>
    <w:p w14:paraId="5E73E6AB" w14:textId="67B08691"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1</w:t>
      </w:r>
      <w:r w:rsidR="00651A03">
        <w:rPr>
          <w:rFonts w:eastAsia="Times New Roman"/>
          <w:color w:val="000000"/>
          <w:lang w:eastAsia="lt-LT"/>
        </w:rPr>
        <w:t>1</w:t>
      </w:r>
      <w:r w:rsidRPr="00F11BF6">
        <w:rPr>
          <w:rFonts w:eastAsia="Times New Roman"/>
          <w:color w:val="000000"/>
          <w:lang w:eastAsia="lt-LT"/>
        </w:rPr>
        <w:t xml:space="preserve">. Išnuomojant Savivaldybės trumpalaikį materialųjį turtą kartu su ilgalaikiu materialiuoju turtu, trumpalaikio materialiojo turto </w:t>
      </w:r>
      <w:r w:rsidR="00BA2C9D">
        <w:rPr>
          <w:rFonts w:eastAsia="Times New Roman"/>
          <w:color w:val="000000"/>
          <w:lang w:eastAsia="lt-LT"/>
        </w:rPr>
        <w:t xml:space="preserve">metinis </w:t>
      </w:r>
      <w:r w:rsidRPr="00F11BF6">
        <w:rPr>
          <w:rFonts w:eastAsia="Times New Roman"/>
          <w:color w:val="000000"/>
          <w:lang w:eastAsia="lt-LT"/>
        </w:rPr>
        <w:t xml:space="preserve">nuompinigių dydis apskaičiuojamas turto įsigijimo vertę dauginant iš koregavimo koeficiento, kurio reikšmės gali būti nuo 0,01 iki 0,06, priklausomai nuo turto būklės. </w:t>
      </w:r>
    </w:p>
    <w:p w14:paraId="030BCD3D" w14:textId="538521B4" w:rsidR="00F11BF6" w:rsidRPr="00F11BF6" w:rsidRDefault="00F11BF6" w:rsidP="00247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1</w:t>
      </w:r>
      <w:r w:rsidR="00651A03">
        <w:rPr>
          <w:rFonts w:eastAsia="Times New Roman"/>
          <w:color w:val="000000"/>
          <w:lang w:eastAsia="lt-LT"/>
        </w:rPr>
        <w:t>2</w:t>
      </w:r>
      <w:r w:rsidRPr="00F11BF6">
        <w:rPr>
          <w:rFonts w:eastAsia="Times New Roman"/>
          <w:color w:val="000000"/>
          <w:lang w:eastAsia="lt-LT"/>
        </w:rPr>
        <w:t>. Nuompinigių dydis, apskaičiuotas pagal turto nuompinigių dydžio nustatymo formules (</w:t>
      </w:r>
      <w:r w:rsidR="004317F6">
        <w:rPr>
          <w:rFonts w:eastAsia="Times New Roman"/>
          <w:color w:val="000000"/>
          <w:lang w:eastAsia="lt-LT"/>
        </w:rPr>
        <w:t>Tvarkos a</w:t>
      </w:r>
      <w:r w:rsidR="00BA2C9D">
        <w:rPr>
          <w:rFonts w:eastAsia="Times New Roman"/>
          <w:color w:val="000000"/>
          <w:lang w:eastAsia="lt-LT"/>
        </w:rPr>
        <w:t>prašo</w:t>
      </w:r>
      <w:r w:rsidRPr="00F11BF6">
        <w:rPr>
          <w:rFonts w:eastAsia="Times New Roman"/>
          <w:color w:val="000000"/>
          <w:lang w:eastAsia="lt-LT"/>
        </w:rPr>
        <w:t xml:space="preserve"> 5–10 punktai), </w:t>
      </w:r>
      <w:r w:rsidR="00DB5198">
        <w:rPr>
          <w:rFonts w:eastAsia="Times New Roman"/>
          <w:color w:val="000000"/>
          <w:lang w:eastAsia="lt-LT"/>
        </w:rPr>
        <w:t xml:space="preserve">Kretingos rajono savivaldybės tarybos arba </w:t>
      </w:r>
      <w:r w:rsidRPr="00F11BF6">
        <w:rPr>
          <w:rFonts w:eastAsia="Times New Roman"/>
          <w:lang w:eastAsia="lt-LT"/>
        </w:rPr>
        <w:t xml:space="preserve">turto valdytojo </w:t>
      </w:r>
      <w:r w:rsidRPr="00F11BF6">
        <w:rPr>
          <w:rFonts w:eastAsia="Times New Roman"/>
          <w:color w:val="000000"/>
          <w:lang w:eastAsia="lt-LT"/>
        </w:rPr>
        <w:t>sprendimu gali būti didinamas atsižvelgus į išnuomojamo turto paklausą</w:t>
      </w:r>
      <w:r w:rsidR="00DB5198">
        <w:rPr>
          <w:rFonts w:eastAsia="Times New Roman"/>
          <w:color w:val="000000"/>
          <w:lang w:eastAsia="lt-LT"/>
        </w:rPr>
        <w:t xml:space="preserve"> ir rinkos kainas</w:t>
      </w:r>
      <w:r w:rsidRPr="00F11BF6">
        <w:rPr>
          <w:rFonts w:eastAsia="Times New Roman"/>
          <w:color w:val="000000"/>
          <w:lang w:eastAsia="lt-LT"/>
        </w:rPr>
        <w:t>.</w:t>
      </w:r>
      <w:r w:rsidRPr="00F11BF6">
        <w:rPr>
          <w:rFonts w:eastAsia="Times New Roman"/>
          <w:color w:val="000000"/>
          <w:szCs w:val="20"/>
        </w:rPr>
        <w:t xml:space="preserve"> </w:t>
      </w:r>
    </w:p>
    <w:p w14:paraId="76CD5E32" w14:textId="60C59672"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szCs w:val="20"/>
        </w:rPr>
      </w:pPr>
      <w:r w:rsidRPr="00F11BF6">
        <w:rPr>
          <w:rFonts w:eastAsia="Times New Roman"/>
          <w:color w:val="000000"/>
          <w:lang w:eastAsia="lt-LT"/>
        </w:rPr>
        <w:t>1</w:t>
      </w:r>
      <w:r w:rsidR="00651A03">
        <w:rPr>
          <w:rFonts w:eastAsia="Times New Roman"/>
          <w:color w:val="000000"/>
          <w:lang w:eastAsia="lt-LT"/>
        </w:rPr>
        <w:t>3</w:t>
      </w:r>
      <w:r w:rsidRPr="00F11BF6">
        <w:rPr>
          <w:rFonts w:eastAsia="Times New Roman"/>
          <w:color w:val="000000"/>
          <w:lang w:eastAsia="lt-LT"/>
        </w:rPr>
        <w:t xml:space="preserve">. </w:t>
      </w:r>
      <w:r w:rsidRPr="00F11BF6">
        <w:rPr>
          <w:rFonts w:eastAsia="Times New Roman"/>
          <w:color w:val="000000"/>
          <w:szCs w:val="20"/>
        </w:rPr>
        <w:t>Kai turtas išnuomojamas neatidėliotinam darbui</w:t>
      </w:r>
      <w:r w:rsidR="00607AC0">
        <w:rPr>
          <w:rFonts w:eastAsia="Times New Roman"/>
          <w:b/>
          <w:bCs/>
          <w:color w:val="000000"/>
          <w:szCs w:val="20"/>
        </w:rPr>
        <w:t xml:space="preserve"> </w:t>
      </w:r>
      <w:r w:rsidRPr="00F11BF6">
        <w:rPr>
          <w:rFonts w:eastAsia="Times New Roman"/>
          <w:color w:val="000000"/>
          <w:szCs w:val="20"/>
        </w:rPr>
        <w:t>atlikti (avarijoms, stichinėms nelaimėms likviduoti ir panašiai) ar trumpalaikiam renginiui (</w:t>
      </w:r>
      <w:r w:rsidRPr="00F11BF6">
        <w:rPr>
          <w:rFonts w:eastAsia="Calibri"/>
          <w:color w:val="000000"/>
          <w:spacing w:val="-4"/>
        </w:rPr>
        <w:t>šventėms, kultūros renginiams, pasitarimams, susirinkimams, simpoziumams, seminarams, parodoms, sporto varžyboms organizuoti ir pasirengti varžyboms, mokymo, papildomo vaikų ir jaunimo ugdymo ir užimtumo, kvalifikacijos kėlimo, jaunimo ir suaugusiųjų poilsio, sveikatinimo, kultūros ir kitiems trumpalaikiams renginiams</w:t>
      </w:r>
      <w:r w:rsidRPr="00F11BF6">
        <w:rPr>
          <w:rFonts w:eastAsia="Times New Roman"/>
          <w:color w:val="000000"/>
          <w:szCs w:val="20"/>
        </w:rPr>
        <w:t>), kurio trukmė yra ne ilgesnė kaip 30 (trisdešimt) kalendorinių dienų (720 valandų) per metus, organizuoti, nuompinigių dydis už faktinį turto naudojimą (už dieną ar valandą) apskaičiuojamas mėnesinį nuompinigių dydį padalijant</w:t>
      </w:r>
      <w:r w:rsidR="00607AC0">
        <w:rPr>
          <w:rFonts w:eastAsia="Times New Roman"/>
          <w:b/>
          <w:bCs/>
          <w:color w:val="000000"/>
          <w:szCs w:val="20"/>
        </w:rPr>
        <w:t xml:space="preserve"> </w:t>
      </w:r>
      <w:r w:rsidRPr="00F11BF6">
        <w:rPr>
          <w:rFonts w:eastAsia="Times New Roman"/>
          <w:color w:val="000000"/>
          <w:szCs w:val="20"/>
        </w:rPr>
        <w:t>iš atitinkamo dienų ar</w:t>
      </w:r>
      <w:r w:rsidR="00607AC0">
        <w:rPr>
          <w:rFonts w:eastAsia="Times New Roman"/>
          <w:b/>
          <w:bCs/>
          <w:color w:val="000000"/>
          <w:szCs w:val="20"/>
        </w:rPr>
        <w:t xml:space="preserve"> </w:t>
      </w:r>
      <w:r w:rsidRPr="00F11BF6">
        <w:rPr>
          <w:rFonts w:eastAsia="Times New Roman"/>
          <w:color w:val="000000"/>
          <w:szCs w:val="20"/>
        </w:rPr>
        <w:t>valandų skaičiaus.</w:t>
      </w:r>
    </w:p>
    <w:p w14:paraId="3FA3977B" w14:textId="5CECD6AD"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lang w:eastAsia="lt-LT"/>
        </w:rPr>
        <w:t>1</w:t>
      </w:r>
      <w:r w:rsidR="00651A03">
        <w:rPr>
          <w:rFonts w:eastAsia="Times New Roman"/>
          <w:color w:val="000000"/>
          <w:lang w:eastAsia="lt-LT"/>
        </w:rPr>
        <w:t>4</w:t>
      </w:r>
      <w:r w:rsidRPr="00F11BF6">
        <w:rPr>
          <w:rFonts w:eastAsia="Times New Roman"/>
          <w:color w:val="000000"/>
          <w:lang w:eastAsia="lt-LT"/>
        </w:rPr>
        <w:t>. Nuompinigius už turto nuomą nuomininkas moka nuomos sutartyje nustatytais terminais.</w:t>
      </w:r>
    </w:p>
    <w:p w14:paraId="01F72912" w14:textId="10521A8E" w:rsid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szCs w:val="20"/>
        </w:rPr>
      </w:pPr>
      <w:r w:rsidRPr="00F11BF6">
        <w:rPr>
          <w:rFonts w:eastAsia="Times New Roman"/>
          <w:color w:val="000000"/>
          <w:lang w:eastAsia="lt-LT"/>
        </w:rPr>
        <w:t>1</w:t>
      </w:r>
      <w:r w:rsidR="00651A03">
        <w:rPr>
          <w:rFonts w:eastAsia="Times New Roman"/>
          <w:color w:val="000000"/>
          <w:lang w:eastAsia="lt-LT"/>
        </w:rPr>
        <w:t>5</w:t>
      </w:r>
      <w:r w:rsidRPr="00F11BF6">
        <w:rPr>
          <w:rFonts w:eastAsia="Times New Roman"/>
          <w:color w:val="000000"/>
          <w:lang w:eastAsia="lt-LT"/>
        </w:rPr>
        <w:t xml:space="preserve">. </w:t>
      </w:r>
      <w:r w:rsidRPr="00F11BF6">
        <w:rPr>
          <w:rFonts w:eastAsia="Times New Roman"/>
          <w:color w:val="000000"/>
          <w:szCs w:val="20"/>
        </w:rPr>
        <w:t>Nuomos sutarties</w:t>
      </w:r>
      <w:r w:rsidR="00BD52AD">
        <w:rPr>
          <w:rFonts w:eastAsia="Times New Roman"/>
          <w:color w:val="000000"/>
          <w:szCs w:val="20"/>
        </w:rPr>
        <w:t xml:space="preserve"> atnaujinimo</w:t>
      </w:r>
      <w:r w:rsidRPr="00F11BF6">
        <w:rPr>
          <w:rFonts w:eastAsia="Times New Roman"/>
          <w:color w:val="000000"/>
          <w:szCs w:val="20"/>
        </w:rPr>
        <w:t xml:space="preserve"> </w:t>
      </w:r>
      <w:r w:rsidR="00BD52AD">
        <w:rPr>
          <w:rFonts w:eastAsia="Times New Roman"/>
          <w:color w:val="000000"/>
          <w:szCs w:val="20"/>
        </w:rPr>
        <w:t>(</w:t>
      </w:r>
      <w:r w:rsidRPr="00F11BF6">
        <w:rPr>
          <w:rFonts w:eastAsia="Times New Roman"/>
          <w:color w:val="000000"/>
          <w:szCs w:val="20"/>
        </w:rPr>
        <w:t>pratęsimo</w:t>
      </w:r>
      <w:r w:rsidR="00BD52AD">
        <w:rPr>
          <w:rFonts w:eastAsia="Times New Roman"/>
          <w:color w:val="000000"/>
          <w:szCs w:val="20"/>
        </w:rPr>
        <w:t>)</w:t>
      </w:r>
      <w:r w:rsidRPr="00F11BF6">
        <w:rPr>
          <w:rFonts w:eastAsia="Times New Roman"/>
          <w:color w:val="000000"/>
          <w:szCs w:val="20"/>
        </w:rPr>
        <w:t xml:space="preserve"> atveju apskaičiuotas nuompinigių dydis negali būti mažesnis už pratęsiamojoje sutartyje (mokamą) nuompinigių dydį.</w:t>
      </w:r>
    </w:p>
    <w:p w14:paraId="778DEE21" w14:textId="3BEAABAF" w:rsidR="00CC6C98" w:rsidRPr="00F11BF6" w:rsidRDefault="00CC6C98"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szCs w:val="20"/>
        </w:rPr>
      </w:pPr>
      <w:r>
        <w:rPr>
          <w:rFonts w:eastAsia="Times New Roman"/>
          <w:color w:val="000000"/>
          <w:szCs w:val="20"/>
        </w:rPr>
        <w:t>1</w:t>
      </w:r>
      <w:r w:rsidR="00651A03">
        <w:rPr>
          <w:rFonts w:eastAsia="Times New Roman"/>
          <w:color w:val="000000"/>
          <w:szCs w:val="20"/>
        </w:rPr>
        <w:t>6</w:t>
      </w:r>
      <w:r>
        <w:rPr>
          <w:rFonts w:eastAsia="Times New Roman"/>
          <w:color w:val="000000"/>
          <w:szCs w:val="20"/>
        </w:rPr>
        <w:t xml:space="preserve">. </w:t>
      </w:r>
      <w:r w:rsidRPr="00CC6C98">
        <w:rPr>
          <w:rFonts w:eastAsia="Times New Roman"/>
          <w:color w:val="000000"/>
          <w:szCs w:val="20"/>
        </w:rPr>
        <w:t xml:space="preserve">Nuompinigių dydį apskaičiuoja </w:t>
      </w:r>
      <w:r w:rsidR="005F3873">
        <w:rPr>
          <w:rFonts w:eastAsia="Times New Roman"/>
          <w:color w:val="000000"/>
          <w:szCs w:val="20"/>
        </w:rPr>
        <w:t>turto valdytojas</w:t>
      </w:r>
      <w:r w:rsidRPr="00CC6C98">
        <w:rPr>
          <w:rFonts w:eastAsia="Times New Roman"/>
          <w:color w:val="000000"/>
          <w:szCs w:val="20"/>
        </w:rPr>
        <w:t xml:space="preserve">. Kai sprendimą dėl turto nuomos priima </w:t>
      </w:r>
      <w:r>
        <w:rPr>
          <w:rFonts w:eastAsia="Times New Roman"/>
          <w:color w:val="000000"/>
          <w:szCs w:val="20"/>
        </w:rPr>
        <w:t>Kretingos</w:t>
      </w:r>
      <w:r w:rsidRPr="00CC6C98">
        <w:rPr>
          <w:rFonts w:eastAsia="Times New Roman"/>
          <w:color w:val="000000"/>
          <w:szCs w:val="20"/>
        </w:rPr>
        <w:t xml:space="preserve"> rajono savivaldybės taryba, </w:t>
      </w:r>
      <w:r>
        <w:rPr>
          <w:rFonts w:eastAsia="Times New Roman"/>
          <w:color w:val="000000"/>
          <w:szCs w:val="20"/>
        </w:rPr>
        <w:t>Tvarkos</w:t>
      </w:r>
      <w:r w:rsidRPr="00CC6C98">
        <w:rPr>
          <w:rFonts w:eastAsia="Times New Roman"/>
          <w:color w:val="000000"/>
          <w:szCs w:val="20"/>
        </w:rPr>
        <w:t xml:space="preserve"> aprašo nustatyta tvarka apskaičiuotas nuompinigių dydis nurodomas sprendimo projekt</w:t>
      </w:r>
      <w:r>
        <w:rPr>
          <w:rFonts w:eastAsia="Times New Roman"/>
          <w:color w:val="000000"/>
          <w:szCs w:val="20"/>
        </w:rPr>
        <w:t>e</w:t>
      </w:r>
      <w:r w:rsidRPr="00CC6C98">
        <w:rPr>
          <w:rFonts w:eastAsia="Times New Roman"/>
          <w:color w:val="000000"/>
          <w:szCs w:val="20"/>
        </w:rPr>
        <w:t xml:space="preserve">. Kai sprendimą dėl turto nuomos priima </w:t>
      </w:r>
      <w:r>
        <w:rPr>
          <w:rFonts w:eastAsia="Times New Roman"/>
          <w:color w:val="000000"/>
          <w:szCs w:val="20"/>
        </w:rPr>
        <w:t>Kretingos</w:t>
      </w:r>
      <w:r w:rsidRPr="00CC6C98">
        <w:rPr>
          <w:rFonts w:eastAsia="Times New Roman"/>
          <w:color w:val="000000"/>
          <w:szCs w:val="20"/>
        </w:rPr>
        <w:t xml:space="preserve"> rajono savivaldybės </w:t>
      </w:r>
      <w:r w:rsidRPr="0056557C">
        <w:rPr>
          <w:rFonts w:eastAsia="Times New Roman"/>
          <w:strike/>
          <w:color w:val="000000"/>
          <w:szCs w:val="20"/>
        </w:rPr>
        <w:t>administracijos direktorius</w:t>
      </w:r>
      <w:r w:rsidR="0056557C">
        <w:rPr>
          <w:rFonts w:eastAsia="Times New Roman"/>
          <w:color w:val="000000"/>
          <w:szCs w:val="20"/>
        </w:rPr>
        <w:t xml:space="preserve"> </w:t>
      </w:r>
      <w:r w:rsidR="0056557C" w:rsidRPr="0056557C">
        <w:rPr>
          <w:rFonts w:eastAsia="Times New Roman"/>
          <w:b/>
          <w:bCs/>
          <w:color w:val="000000"/>
          <w:szCs w:val="20"/>
        </w:rPr>
        <w:t>meras</w:t>
      </w:r>
      <w:r w:rsidRPr="00CC6C98">
        <w:rPr>
          <w:rFonts w:eastAsia="Times New Roman"/>
          <w:color w:val="000000"/>
          <w:szCs w:val="20"/>
        </w:rPr>
        <w:t>,</w:t>
      </w:r>
      <w:r>
        <w:rPr>
          <w:rFonts w:eastAsia="Times New Roman"/>
          <w:color w:val="000000"/>
          <w:szCs w:val="20"/>
        </w:rPr>
        <w:t xml:space="preserve"> Tvarkos</w:t>
      </w:r>
      <w:r w:rsidRPr="00CC6C98">
        <w:rPr>
          <w:rFonts w:eastAsia="Times New Roman"/>
          <w:color w:val="000000"/>
          <w:szCs w:val="20"/>
        </w:rPr>
        <w:t xml:space="preserve"> aprašo nustatyta tvarka apskaičiuotas  nuompinigių dydis </w:t>
      </w:r>
      <w:r>
        <w:rPr>
          <w:rFonts w:eastAsia="Times New Roman"/>
          <w:color w:val="000000"/>
          <w:szCs w:val="20"/>
        </w:rPr>
        <w:t xml:space="preserve">nurodomas </w:t>
      </w:r>
      <w:r w:rsidRPr="0056557C">
        <w:rPr>
          <w:rFonts w:eastAsia="Times New Roman"/>
          <w:strike/>
          <w:color w:val="000000"/>
          <w:szCs w:val="20"/>
        </w:rPr>
        <w:t>įsakyme</w:t>
      </w:r>
      <w:r w:rsidR="0056557C">
        <w:rPr>
          <w:rFonts w:eastAsia="Times New Roman"/>
          <w:color w:val="000000"/>
          <w:szCs w:val="20"/>
        </w:rPr>
        <w:t xml:space="preserve"> </w:t>
      </w:r>
      <w:r w:rsidR="0056557C" w:rsidRPr="0056557C">
        <w:rPr>
          <w:rFonts w:eastAsia="Times New Roman"/>
          <w:b/>
          <w:bCs/>
          <w:color w:val="000000"/>
          <w:szCs w:val="20"/>
        </w:rPr>
        <w:t>potvarkyje</w:t>
      </w:r>
      <w:r w:rsidRPr="00CC6C98">
        <w:rPr>
          <w:rFonts w:eastAsia="Times New Roman"/>
          <w:color w:val="000000"/>
          <w:szCs w:val="20"/>
        </w:rPr>
        <w:t>.</w:t>
      </w:r>
    </w:p>
    <w:p w14:paraId="01EF53C9" w14:textId="7ACC18E4" w:rsidR="00F11BF6" w:rsidRPr="00F11BF6" w:rsidRDefault="00F11BF6" w:rsidP="00F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olor w:val="000000"/>
          <w:lang w:eastAsia="lt-LT"/>
        </w:rPr>
      </w:pPr>
      <w:r w:rsidRPr="00F11BF6">
        <w:rPr>
          <w:rFonts w:eastAsia="Times New Roman"/>
          <w:color w:val="000000"/>
          <w:szCs w:val="20"/>
        </w:rPr>
        <w:t>1</w:t>
      </w:r>
      <w:r w:rsidR="00651A03">
        <w:rPr>
          <w:rFonts w:eastAsia="Times New Roman"/>
          <w:color w:val="000000"/>
          <w:szCs w:val="20"/>
        </w:rPr>
        <w:t>7</w:t>
      </w:r>
      <w:r w:rsidRPr="00F11BF6">
        <w:rPr>
          <w:rFonts w:eastAsia="Times New Roman"/>
          <w:color w:val="000000"/>
          <w:szCs w:val="20"/>
        </w:rPr>
        <w:t xml:space="preserve">. </w:t>
      </w:r>
      <w:r w:rsidRPr="00F11BF6">
        <w:rPr>
          <w:rFonts w:eastAsia="Times New Roman"/>
          <w:color w:val="000000"/>
        </w:rPr>
        <w:t>Dėl nuomininko atleidimo nuo nuompinigių ar jų sumažinimo sprendimą priima Savivaldybės taryba.</w:t>
      </w:r>
    </w:p>
    <w:p w14:paraId="556DFAFF" w14:textId="7B55BDFA" w:rsidR="00F11BF6" w:rsidRDefault="00F11BF6" w:rsidP="00F11BF6">
      <w:pPr>
        <w:widowControl w:val="0"/>
        <w:spacing w:after="0" w:line="240" w:lineRule="auto"/>
        <w:ind w:firstLine="709"/>
        <w:jc w:val="both"/>
        <w:rPr>
          <w:rFonts w:eastAsia="Times New Roman"/>
          <w:color w:val="000000"/>
          <w:szCs w:val="20"/>
        </w:rPr>
      </w:pPr>
      <w:r w:rsidRPr="00F11BF6">
        <w:rPr>
          <w:rFonts w:eastAsia="Times New Roman"/>
          <w:color w:val="000000"/>
        </w:rPr>
        <w:t>1</w:t>
      </w:r>
      <w:r w:rsidR="00651A03">
        <w:rPr>
          <w:rFonts w:eastAsia="Times New Roman"/>
          <w:color w:val="000000"/>
        </w:rPr>
        <w:t>8</w:t>
      </w:r>
      <w:r w:rsidRPr="00F11BF6">
        <w:rPr>
          <w:rFonts w:eastAsia="Times New Roman"/>
          <w:color w:val="000000"/>
        </w:rPr>
        <w:t>.</w:t>
      </w:r>
      <w:r w:rsidRPr="00F11BF6">
        <w:rPr>
          <w:rFonts w:eastAsia="Times New Roman"/>
          <w:color w:val="000000"/>
          <w:szCs w:val="20"/>
        </w:rPr>
        <w:t xml:space="preserve"> Ši</w:t>
      </w:r>
      <w:r w:rsidR="00BA2C9D">
        <w:rPr>
          <w:rFonts w:eastAsia="Times New Roman"/>
          <w:color w:val="000000"/>
          <w:szCs w:val="20"/>
        </w:rPr>
        <w:t>s</w:t>
      </w:r>
      <w:r w:rsidRPr="00F11BF6">
        <w:rPr>
          <w:rFonts w:eastAsia="Times New Roman"/>
          <w:color w:val="000000"/>
          <w:szCs w:val="20"/>
        </w:rPr>
        <w:t xml:space="preserve"> </w:t>
      </w:r>
      <w:r w:rsidR="004317F6">
        <w:rPr>
          <w:rFonts w:eastAsia="Times New Roman"/>
          <w:color w:val="000000"/>
          <w:szCs w:val="20"/>
        </w:rPr>
        <w:t>Tvarkos a</w:t>
      </w:r>
      <w:r w:rsidR="00BA2C9D">
        <w:rPr>
          <w:rFonts w:eastAsia="Times New Roman"/>
          <w:color w:val="000000"/>
          <w:szCs w:val="20"/>
        </w:rPr>
        <w:t>prašas</w:t>
      </w:r>
      <w:r w:rsidRPr="00F11BF6">
        <w:rPr>
          <w:rFonts w:eastAsia="Times New Roman"/>
          <w:color w:val="000000"/>
          <w:szCs w:val="20"/>
        </w:rPr>
        <w:t xml:space="preserve"> gali būti keičiam</w:t>
      </w:r>
      <w:r w:rsidR="00BA2C9D">
        <w:rPr>
          <w:rFonts w:eastAsia="Times New Roman"/>
          <w:color w:val="000000"/>
          <w:szCs w:val="20"/>
        </w:rPr>
        <w:t>a</w:t>
      </w:r>
      <w:r w:rsidRPr="00F11BF6">
        <w:rPr>
          <w:rFonts w:eastAsia="Times New Roman"/>
          <w:color w:val="000000"/>
          <w:szCs w:val="20"/>
        </w:rPr>
        <w:t>s, papildom</w:t>
      </w:r>
      <w:r w:rsidR="00BA2C9D">
        <w:rPr>
          <w:rFonts w:eastAsia="Times New Roman"/>
          <w:color w:val="000000"/>
          <w:szCs w:val="20"/>
        </w:rPr>
        <w:t>a</w:t>
      </w:r>
      <w:r w:rsidRPr="00F11BF6">
        <w:rPr>
          <w:rFonts w:eastAsia="Times New Roman"/>
          <w:color w:val="000000"/>
          <w:szCs w:val="20"/>
        </w:rPr>
        <w:t>s ir pripažįstam</w:t>
      </w:r>
      <w:r w:rsidR="00BA2C9D">
        <w:rPr>
          <w:rFonts w:eastAsia="Times New Roman"/>
          <w:color w:val="000000"/>
          <w:szCs w:val="20"/>
        </w:rPr>
        <w:t>a</w:t>
      </w:r>
      <w:r w:rsidRPr="00F11BF6">
        <w:rPr>
          <w:rFonts w:eastAsia="Times New Roman"/>
          <w:color w:val="000000"/>
          <w:szCs w:val="20"/>
        </w:rPr>
        <w:t>s netekusi</w:t>
      </w:r>
      <w:r w:rsidR="00BA2C9D">
        <w:rPr>
          <w:rFonts w:eastAsia="Times New Roman"/>
          <w:color w:val="000000"/>
          <w:szCs w:val="20"/>
        </w:rPr>
        <w:t>u</w:t>
      </w:r>
      <w:r w:rsidRPr="00F11BF6">
        <w:rPr>
          <w:rFonts w:eastAsia="Times New Roman"/>
          <w:color w:val="000000"/>
          <w:szCs w:val="20"/>
        </w:rPr>
        <w:t xml:space="preserve"> galios Savivaldybės tarybos sprendimu.</w:t>
      </w:r>
    </w:p>
    <w:p w14:paraId="5C13C4B1" w14:textId="08EFA0E3" w:rsidR="00F11BF6" w:rsidRPr="00F11BF6" w:rsidRDefault="00247D81" w:rsidP="00247D81">
      <w:pPr>
        <w:spacing w:after="0" w:line="240" w:lineRule="auto"/>
        <w:jc w:val="center"/>
        <w:rPr>
          <w:rFonts w:eastAsia="Times New Roman"/>
          <w:color w:val="000000"/>
          <w:lang w:eastAsia="lt-LT"/>
        </w:rPr>
      </w:pPr>
      <w:r>
        <w:rPr>
          <w:rFonts w:eastAsia="Times New Roman"/>
          <w:color w:val="000000"/>
          <w:szCs w:val="20"/>
        </w:rPr>
        <w:lastRenderedPageBreak/>
        <w:t>________________</w:t>
      </w:r>
    </w:p>
    <w:p w14:paraId="4CFB638B" w14:textId="2F864D25" w:rsidR="0056557C" w:rsidRPr="0056557C" w:rsidRDefault="0056557C" w:rsidP="0056557C">
      <w:pPr>
        <w:spacing w:after="0" w:line="240" w:lineRule="auto"/>
        <w:ind w:left="5184"/>
        <w:rPr>
          <w:rFonts w:eastAsia="Times New Roman"/>
          <w:b/>
          <w:bCs/>
          <w:lang w:eastAsia="lt-LT"/>
        </w:rPr>
      </w:pPr>
      <w:bookmarkStart w:id="3" w:name="_Hlk136333519"/>
      <w:r w:rsidRPr="0056557C">
        <w:rPr>
          <w:rFonts w:eastAsia="Times New Roman"/>
          <w:b/>
          <w:bCs/>
          <w:lang w:eastAsia="lt-LT"/>
        </w:rPr>
        <w:t>N</w:t>
      </w:r>
      <w:r>
        <w:rPr>
          <w:rFonts w:eastAsia="Times New Roman"/>
          <w:b/>
          <w:bCs/>
          <w:lang w:eastAsia="lt-LT"/>
        </w:rPr>
        <w:t>uompinigių</w:t>
      </w:r>
      <w:r w:rsidRPr="0056557C">
        <w:rPr>
          <w:rFonts w:eastAsia="Times New Roman"/>
          <w:b/>
          <w:bCs/>
          <w:lang w:eastAsia="lt-LT"/>
        </w:rPr>
        <w:t xml:space="preserve"> </w:t>
      </w:r>
      <w:r>
        <w:rPr>
          <w:rFonts w:eastAsia="Times New Roman"/>
          <w:b/>
          <w:bCs/>
          <w:lang w:eastAsia="lt-LT"/>
        </w:rPr>
        <w:t>už</w:t>
      </w:r>
      <w:r w:rsidRPr="0056557C">
        <w:rPr>
          <w:rFonts w:eastAsia="Times New Roman"/>
          <w:b/>
          <w:bCs/>
          <w:lang w:eastAsia="lt-LT"/>
        </w:rPr>
        <w:t xml:space="preserve"> K</w:t>
      </w:r>
      <w:r>
        <w:rPr>
          <w:rFonts w:eastAsia="Times New Roman"/>
          <w:b/>
          <w:bCs/>
          <w:lang w:eastAsia="lt-LT"/>
        </w:rPr>
        <w:t>retingos</w:t>
      </w:r>
      <w:r w:rsidRPr="0056557C">
        <w:rPr>
          <w:rFonts w:eastAsia="Times New Roman"/>
          <w:b/>
          <w:bCs/>
          <w:lang w:eastAsia="lt-LT"/>
        </w:rPr>
        <w:t xml:space="preserve"> </w:t>
      </w:r>
      <w:r>
        <w:rPr>
          <w:rFonts w:eastAsia="Times New Roman"/>
          <w:b/>
          <w:bCs/>
          <w:lang w:eastAsia="lt-LT"/>
        </w:rPr>
        <w:t>rajono</w:t>
      </w:r>
      <w:r w:rsidRPr="0056557C">
        <w:rPr>
          <w:rFonts w:eastAsia="Times New Roman"/>
          <w:b/>
          <w:bCs/>
          <w:lang w:eastAsia="lt-LT"/>
        </w:rPr>
        <w:t xml:space="preserve"> </w:t>
      </w:r>
      <w:r>
        <w:rPr>
          <w:rFonts w:eastAsia="Times New Roman"/>
          <w:b/>
          <w:bCs/>
          <w:lang w:eastAsia="lt-LT"/>
        </w:rPr>
        <w:t>savivaldybės</w:t>
      </w:r>
      <w:r w:rsidRPr="0056557C">
        <w:rPr>
          <w:rFonts w:eastAsia="Times New Roman"/>
          <w:b/>
          <w:bCs/>
          <w:lang w:eastAsia="lt-LT"/>
        </w:rPr>
        <w:t xml:space="preserve"> </w:t>
      </w:r>
      <w:r>
        <w:rPr>
          <w:rFonts w:eastAsia="Times New Roman"/>
          <w:b/>
          <w:bCs/>
          <w:lang w:eastAsia="lt-LT"/>
        </w:rPr>
        <w:t>ilgalaikio</w:t>
      </w:r>
      <w:r w:rsidRPr="0056557C">
        <w:rPr>
          <w:rFonts w:eastAsia="Times New Roman"/>
          <w:b/>
          <w:bCs/>
          <w:lang w:eastAsia="lt-LT"/>
        </w:rPr>
        <w:t xml:space="preserve"> </w:t>
      </w:r>
      <w:r>
        <w:rPr>
          <w:rFonts w:eastAsia="Times New Roman"/>
          <w:b/>
          <w:bCs/>
          <w:lang w:eastAsia="lt-LT"/>
        </w:rPr>
        <w:t>materialiojo</w:t>
      </w:r>
      <w:r w:rsidRPr="0056557C">
        <w:rPr>
          <w:rFonts w:eastAsia="Times New Roman"/>
          <w:b/>
          <w:bCs/>
          <w:lang w:eastAsia="lt-LT"/>
        </w:rPr>
        <w:t xml:space="preserve"> </w:t>
      </w:r>
      <w:r>
        <w:rPr>
          <w:rFonts w:eastAsia="Times New Roman"/>
          <w:b/>
          <w:bCs/>
          <w:lang w:eastAsia="lt-LT"/>
        </w:rPr>
        <w:t>ir</w:t>
      </w:r>
      <w:r w:rsidRPr="0056557C">
        <w:rPr>
          <w:rFonts w:eastAsia="Times New Roman"/>
          <w:b/>
          <w:bCs/>
          <w:lang w:eastAsia="lt-LT"/>
        </w:rPr>
        <w:t xml:space="preserve"> </w:t>
      </w:r>
      <w:r>
        <w:rPr>
          <w:rFonts w:eastAsia="Times New Roman"/>
          <w:b/>
          <w:bCs/>
          <w:lang w:eastAsia="lt-LT"/>
        </w:rPr>
        <w:t>trumpalaikio</w:t>
      </w:r>
      <w:r w:rsidRPr="0056557C">
        <w:rPr>
          <w:rFonts w:eastAsia="Times New Roman"/>
          <w:b/>
          <w:bCs/>
          <w:lang w:eastAsia="lt-LT"/>
        </w:rPr>
        <w:t xml:space="preserve"> </w:t>
      </w:r>
      <w:r>
        <w:rPr>
          <w:rFonts w:eastAsia="Times New Roman"/>
          <w:b/>
          <w:bCs/>
          <w:lang w:eastAsia="lt-LT"/>
        </w:rPr>
        <w:t>materialiojo</w:t>
      </w:r>
      <w:r w:rsidRPr="0056557C">
        <w:rPr>
          <w:rFonts w:eastAsia="Times New Roman"/>
          <w:b/>
          <w:bCs/>
          <w:lang w:eastAsia="lt-LT"/>
        </w:rPr>
        <w:t xml:space="preserve"> </w:t>
      </w:r>
      <w:r>
        <w:rPr>
          <w:rFonts w:eastAsia="Times New Roman"/>
          <w:b/>
          <w:bCs/>
          <w:lang w:eastAsia="lt-LT"/>
        </w:rPr>
        <w:t>turto</w:t>
      </w:r>
      <w:r w:rsidRPr="0056557C">
        <w:rPr>
          <w:rFonts w:eastAsia="Times New Roman"/>
          <w:b/>
          <w:bCs/>
          <w:lang w:eastAsia="lt-LT"/>
        </w:rPr>
        <w:t xml:space="preserve"> </w:t>
      </w:r>
      <w:r>
        <w:rPr>
          <w:rFonts w:eastAsia="Times New Roman"/>
          <w:b/>
          <w:bCs/>
          <w:lang w:eastAsia="lt-LT"/>
        </w:rPr>
        <w:t>nuomą</w:t>
      </w:r>
      <w:r w:rsidRPr="0056557C">
        <w:rPr>
          <w:rFonts w:eastAsia="Times New Roman"/>
          <w:b/>
          <w:bCs/>
          <w:lang w:eastAsia="lt-LT"/>
        </w:rPr>
        <w:t xml:space="preserve"> </w:t>
      </w:r>
      <w:r>
        <w:rPr>
          <w:rFonts w:eastAsia="Times New Roman"/>
          <w:b/>
          <w:bCs/>
          <w:lang w:eastAsia="lt-LT"/>
        </w:rPr>
        <w:t>skaičiavimo</w:t>
      </w:r>
      <w:r w:rsidRPr="0056557C">
        <w:rPr>
          <w:rFonts w:eastAsia="Times New Roman"/>
          <w:b/>
          <w:bCs/>
          <w:lang w:eastAsia="lt-LT"/>
        </w:rPr>
        <w:t xml:space="preserve"> </w:t>
      </w:r>
      <w:r>
        <w:rPr>
          <w:rFonts w:eastAsia="Times New Roman"/>
          <w:b/>
          <w:bCs/>
          <w:lang w:eastAsia="lt-LT"/>
        </w:rPr>
        <w:t>tvarkos</w:t>
      </w:r>
      <w:r w:rsidRPr="0056557C">
        <w:rPr>
          <w:rFonts w:eastAsia="Times New Roman"/>
          <w:b/>
          <w:bCs/>
          <w:lang w:eastAsia="lt-LT"/>
        </w:rPr>
        <w:t xml:space="preserve"> </w:t>
      </w:r>
      <w:r>
        <w:rPr>
          <w:rFonts w:eastAsia="Times New Roman"/>
          <w:b/>
          <w:bCs/>
          <w:lang w:eastAsia="lt-LT"/>
        </w:rPr>
        <w:t>aprašo</w:t>
      </w:r>
    </w:p>
    <w:p w14:paraId="77041054" w14:textId="4E4A4434" w:rsidR="0056557C" w:rsidRPr="0056557C" w:rsidRDefault="0056557C" w:rsidP="0056557C">
      <w:pPr>
        <w:spacing w:after="0" w:line="240" w:lineRule="auto"/>
        <w:ind w:left="5184"/>
        <w:rPr>
          <w:rFonts w:eastAsia="Times New Roman"/>
          <w:b/>
          <w:bCs/>
          <w:lang w:eastAsia="lt-LT"/>
        </w:rPr>
      </w:pPr>
      <w:r w:rsidRPr="0056557C">
        <w:rPr>
          <w:rFonts w:eastAsia="Times New Roman"/>
          <w:b/>
          <w:bCs/>
          <w:lang w:eastAsia="lt-LT"/>
        </w:rPr>
        <w:t>priedas</w:t>
      </w:r>
    </w:p>
    <w:bookmarkEnd w:id="3"/>
    <w:p w14:paraId="71F36F1B" w14:textId="77777777" w:rsidR="0056557C" w:rsidRPr="0056557C" w:rsidRDefault="0056557C" w:rsidP="0056557C">
      <w:pPr>
        <w:spacing w:after="0" w:line="240" w:lineRule="auto"/>
        <w:rPr>
          <w:rFonts w:eastAsia="Times New Roman"/>
          <w:b/>
          <w:bCs/>
          <w:sz w:val="20"/>
          <w:szCs w:val="20"/>
          <w:lang w:eastAsia="lt-LT"/>
        </w:rPr>
      </w:pPr>
    </w:p>
    <w:p w14:paraId="22FA641C" w14:textId="77777777" w:rsidR="0056557C" w:rsidRPr="0056557C" w:rsidRDefault="0056557C" w:rsidP="0056557C">
      <w:pPr>
        <w:spacing w:after="0" w:line="240" w:lineRule="auto"/>
        <w:jc w:val="center"/>
        <w:rPr>
          <w:rFonts w:eastAsia="Times New Roman"/>
          <w:b/>
          <w:bCs/>
          <w:lang w:val="en-US" w:eastAsia="lt-LT"/>
        </w:rPr>
      </w:pPr>
      <w:r w:rsidRPr="0056557C">
        <w:rPr>
          <w:rFonts w:eastAsia="Times New Roman"/>
          <w:b/>
          <w:bCs/>
          <w:lang w:eastAsia="lt-LT"/>
        </w:rPr>
        <w:t>ILGALAIKIO MATERIALIOJO TURTO MAKSIMALUS NUSIDĖVĖJIMO NORMATYVAS</w:t>
      </w:r>
    </w:p>
    <w:p w14:paraId="7ADF3F0A" w14:textId="77777777" w:rsidR="0056557C" w:rsidRPr="0056557C" w:rsidRDefault="0056557C" w:rsidP="0056557C">
      <w:pPr>
        <w:spacing w:after="0" w:line="240" w:lineRule="auto"/>
        <w:rPr>
          <w:rFonts w:eastAsia="Times New Roman"/>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19"/>
        <w:gridCol w:w="2713"/>
      </w:tblGrid>
      <w:tr w:rsidR="0056557C" w:rsidRPr="0056557C" w14:paraId="70CC4350" w14:textId="77777777" w:rsidTr="005C5BB0">
        <w:tc>
          <w:tcPr>
            <w:tcW w:w="696" w:type="dxa"/>
            <w:shd w:val="clear" w:color="auto" w:fill="auto"/>
          </w:tcPr>
          <w:p w14:paraId="61825DAA"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 xml:space="preserve">Eil. </w:t>
            </w:r>
          </w:p>
          <w:p w14:paraId="6150267C"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Nr.</w:t>
            </w:r>
          </w:p>
        </w:tc>
        <w:tc>
          <w:tcPr>
            <w:tcW w:w="6395" w:type="dxa"/>
            <w:shd w:val="clear" w:color="auto" w:fill="auto"/>
          </w:tcPr>
          <w:p w14:paraId="5AE15A2E"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Ilgalaikio materialiojo turto grupė</w:t>
            </w:r>
          </w:p>
        </w:tc>
        <w:tc>
          <w:tcPr>
            <w:tcW w:w="2763" w:type="dxa"/>
            <w:shd w:val="clear" w:color="auto" w:fill="auto"/>
          </w:tcPr>
          <w:p w14:paraId="124D8F93" w14:textId="77777777" w:rsidR="0056557C" w:rsidRPr="0056557C" w:rsidRDefault="0056557C" w:rsidP="005C5BB0">
            <w:pPr>
              <w:spacing w:after="0" w:line="240" w:lineRule="auto"/>
              <w:rPr>
                <w:rFonts w:eastAsia="Times New Roman"/>
                <w:b/>
                <w:bCs/>
                <w:lang w:val="en-US" w:eastAsia="lt-LT"/>
              </w:rPr>
            </w:pPr>
            <w:r w:rsidRPr="0056557C">
              <w:rPr>
                <w:rFonts w:eastAsia="Times New Roman"/>
                <w:b/>
                <w:bCs/>
                <w:lang w:eastAsia="lt-LT"/>
              </w:rPr>
              <w:t>Normatyvas metais</w:t>
            </w:r>
          </w:p>
          <w:p w14:paraId="4489AD5B" w14:textId="77777777" w:rsidR="0056557C" w:rsidRPr="0056557C" w:rsidRDefault="0056557C" w:rsidP="005C5BB0">
            <w:pPr>
              <w:spacing w:after="0" w:line="240" w:lineRule="auto"/>
              <w:rPr>
                <w:rFonts w:eastAsia="Times New Roman"/>
                <w:b/>
                <w:bCs/>
                <w:lang w:eastAsia="lt-LT"/>
              </w:rPr>
            </w:pPr>
          </w:p>
        </w:tc>
      </w:tr>
      <w:tr w:rsidR="0056557C" w:rsidRPr="0056557C" w14:paraId="0578498D" w14:textId="77777777" w:rsidTr="005C5BB0">
        <w:tc>
          <w:tcPr>
            <w:tcW w:w="696" w:type="dxa"/>
            <w:shd w:val="clear" w:color="auto" w:fill="auto"/>
          </w:tcPr>
          <w:p w14:paraId="673F4A4C"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1.</w:t>
            </w:r>
          </w:p>
        </w:tc>
        <w:tc>
          <w:tcPr>
            <w:tcW w:w="6395" w:type="dxa"/>
            <w:shd w:val="clear" w:color="auto" w:fill="auto"/>
          </w:tcPr>
          <w:p w14:paraId="021237BB" w14:textId="77777777" w:rsidR="0056557C" w:rsidRPr="0056557C" w:rsidRDefault="0056557C" w:rsidP="005C5BB0">
            <w:pPr>
              <w:spacing w:after="0" w:line="240" w:lineRule="auto"/>
              <w:jc w:val="both"/>
              <w:rPr>
                <w:rFonts w:eastAsia="Times New Roman"/>
                <w:b/>
                <w:bCs/>
                <w:lang w:eastAsia="lt-LT"/>
              </w:rPr>
            </w:pPr>
            <w:r w:rsidRPr="0056557C">
              <w:rPr>
                <w:rFonts w:eastAsia="Times New Roman"/>
                <w:b/>
                <w:bCs/>
                <w:lang w:eastAsia="lt-LT"/>
              </w:rPr>
              <w:t xml:space="preserve">Naujas Savivaldybės nekilnojamasis turtas ir nekilnojamojo turto, įtraukto į Lietuvos Respublikos nekilnojamųjų kultūros vertybių registrą, rekonstravimo darbai </w:t>
            </w:r>
          </w:p>
        </w:tc>
        <w:tc>
          <w:tcPr>
            <w:tcW w:w="2763" w:type="dxa"/>
            <w:shd w:val="clear" w:color="auto" w:fill="auto"/>
          </w:tcPr>
          <w:p w14:paraId="0FF0A68D" w14:textId="77777777" w:rsidR="0056557C" w:rsidRPr="0056557C" w:rsidRDefault="0056557C" w:rsidP="005C5BB0">
            <w:pPr>
              <w:spacing w:after="0" w:line="240" w:lineRule="auto"/>
              <w:jc w:val="center"/>
              <w:rPr>
                <w:rFonts w:eastAsia="Times New Roman"/>
                <w:b/>
                <w:bCs/>
                <w:lang w:eastAsia="lt-LT"/>
              </w:rPr>
            </w:pPr>
          </w:p>
          <w:p w14:paraId="1E3229BF"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8</w:t>
            </w:r>
          </w:p>
        </w:tc>
      </w:tr>
      <w:tr w:rsidR="0056557C" w:rsidRPr="0056557C" w14:paraId="78701069" w14:textId="77777777" w:rsidTr="005C5BB0">
        <w:tc>
          <w:tcPr>
            <w:tcW w:w="696" w:type="dxa"/>
            <w:shd w:val="clear" w:color="auto" w:fill="auto"/>
          </w:tcPr>
          <w:p w14:paraId="72AA4C6F"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2.</w:t>
            </w:r>
          </w:p>
        </w:tc>
        <w:tc>
          <w:tcPr>
            <w:tcW w:w="6395" w:type="dxa"/>
            <w:shd w:val="clear" w:color="auto" w:fill="auto"/>
          </w:tcPr>
          <w:p w14:paraId="0A433098" w14:textId="77777777" w:rsidR="0056557C" w:rsidRPr="0056557C" w:rsidRDefault="0056557C" w:rsidP="005C5BB0">
            <w:pPr>
              <w:spacing w:after="0" w:line="240" w:lineRule="auto"/>
              <w:jc w:val="both"/>
              <w:rPr>
                <w:rFonts w:eastAsia="Times New Roman"/>
                <w:b/>
                <w:bCs/>
                <w:lang w:eastAsia="lt-LT"/>
              </w:rPr>
            </w:pPr>
            <w:r w:rsidRPr="0056557C">
              <w:rPr>
                <w:rFonts w:eastAsia="Times New Roman"/>
                <w:b/>
                <w:bCs/>
                <w:lang w:eastAsia="lt-LT"/>
              </w:rPr>
              <w:t>Kitas, išskyrus 1 punkte nurodytą, Savivaldybės nekilnojamasis turtas</w:t>
            </w:r>
          </w:p>
        </w:tc>
        <w:tc>
          <w:tcPr>
            <w:tcW w:w="2763" w:type="dxa"/>
            <w:shd w:val="clear" w:color="auto" w:fill="auto"/>
          </w:tcPr>
          <w:p w14:paraId="4EABEAD8"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15</w:t>
            </w:r>
          </w:p>
          <w:p w14:paraId="345D4014" w14:textId="77777777" w:rsidR="0056557C" w:rsidRPr="0056557C" w:rsidRDefault="0056557C" w:rsidP="005C5BB0">
            <w:pPr>
              <w:spacing w:after="0" w:line="240" w:lineRule="auto"/>
              <w:jc w:val="center"/>
              <w:rPr>
                <w:rFonts w:eastAsia="Times New Roman"/>
                <w:b/>
                <w:bCs/>
                <w:lang w:eastAsia="lt-LT"/>
              </w:rPr>
            </w:pPr>
          </w:p>
        </w:tc>
      </w:tr>
      <w:tr w:rsidR="0056557C" w:rsidRPr="0056557C" w14:paraId="4178A005" w14:textId="77777777" w:rsidTr="005C5BB0">
        <w:tc>
          <w:tcPr>
            <w:tcW w:w="696" w:type="dxa"/>
            <w:shd w:val="clear" w:color="auto" w:fill="auto"/>
          </w:tcPr>
          <w:p w14:paraId="7E32817B"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3.</w:t>
            </w:r>
          </w:p>
        </w:tc>
        <w:tc>
          <w:tcPr>
            <w:tcW w:w="6395" w:type="dxa"/>
            <w:shd w:val="clear" w:color="auto" w:fill="auto"/>
          </w:tcPr>
          <w:p w14:paraId="729E36E7"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Mašinos ir įrengimai</w:t>
            </w:r>
          </w:p>
        </w:tc>
        <w:tc>
          <w:tcPr>
            <w:tcW w:w="2763" w:type="dxa"/>
            <w:shd w:val="clear" w:color="auto" w:fill="auto"/>
          </w:tcPr>
          <w:p w14:paraId="3AAD396C"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5</w:t>
            </w:r>
          </w:p>
          <w:p w14:paraId="2280C7AB" w14:textId="77777777" w:rsidR="0056557C" w:rsidRPr="0056557C" w:rsidRDefault="0056557C" w:rsidP="005C5BB0">
            <w:pPr>
              <w:spacing w:after="0" w:line="240" w:lineRule="auto"/>
              <w:jc w:val="center"/>
              <w:rPr>
                <w:rFonts w:eastAsia="Times New Roman"/>
                <w:b/>
                <w:bCs/>
                <w:lang w:eastAsia="lt-LT"/>
              </w:rPr>
            </w:pPr>
          </w:p>
        </w:tc>
      </w:tr>
      <w:tr w:rsidR="0056557C" w:rsidRPr="0056557C" w14:paraId="13141C06" w14:textId="77777777" w:rsidTr="005C5BB0">
        <w:tc>
          <w:tcPr>
            <w:tcW w:w="696" w:type="dxa"/>
            <w:shd w:val="clear" w:color="auto" w:fill="auto"/>
          </w:tcPr>
          <w:p w14:paraId="4B9FC2CC"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4.</w:t>
            </w:r>
          </w:p>
        </w:tc>
        <w:tc>
          <w:tcPr>
            <w:tcW w:w="6395" w:type="dxa"/>
            <w:shd w:val="clear" w:color="auto" w:fill="auto"/>
          </w:tcPr>
          <w:p w14:paraId="4B00E3ED"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Įrenginiai (statiniai, gręžiniai ir kt.)</w:t>
            </w:r>
          </w:p>
        </w:tc>
        <w:tc>
          <w:tcPr>
            <w:tcW w:w="2763" w:type="dxa"/>
            <w:shd w:val="clear" w:color="auto" w:fill="auto"/>
          </w:tcPr>
          <w:p w14:paraId="7C34D070"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8</w:t>
            </w:r>
          </w:p>
          <w:p w14:paraId="112D549F" w14:textId="77777777" w:rsidR="0056557C" w:rsidRPr="0056557C" w:rsidRDefault="0056557C" w:rsidP="005C5BB0">
            <w:pPr>
              <w:spacing w:after="0" w:line="240" w:lineRule="auto"/>
              <w:jc w:val="center"/>
              <w:rPr>
                <w:rFonts w:eastAsia="Times New Roman"/>
                <w:b/>
                <w:bCs/>
                <w:lang w:eastAsia="lt-LT"/>
              </w:rPr>
            </w:pPr>
          </w:p>
        </w:tc>
      </w:tr>
      <w:tr w:rsidR="0056557C" w:rsidRPr="0056557C" w14:paraId="391BB385" w14:textId="77777777" w:rsidTr="005C5BB0">
        <w:tc>
          <w:tcPr>
            <w:tcW w:w="696" w:type="dxa"/>
            <w:shd w:val="clear" w:color="auto" w:fill="auto"/>
          </w:tcPr>
          <w:p w14:paraId="0583D7DE"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5.</w:t>
            </w:r>
          </w:p>
        </w:tc>
        <w:tc>
          <w:tcPr>
            <w:tcW w:w="6395" w:type="dxa"/>
            <w:shd w:val="clear" w:color="auto" w:fill="auto"/>
          </w:tcPr>
          <w:p w14:paraId="2DFD1047"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Elektros perdavimo ir ryšių įtaisai (išskyrus kompiuterinius tinklus)</w:t>
            </w:r>
          </w:p>
        </w:tc>
        <w:tc>
          <w:tcPr>
            <w:tcW w:w="2763" w:type="dxa"/>
            <w:shd w:val="clear" w:color="auto" w:fill="auto"/>
          </w:tcPr>
          <w:p w14:paraId="60664936"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8</w:t>
            </w:r>
          </w:p>
          <w:p w14:paraId="4F137927" w14:textId="77777777" w:rsidR="0056557C" w:rsidRPr="0056557C" w:rsidRDefault="0056557C" w:rsidP="005C5BB0">
            <w:pPr>
              <w:spacing w:after="0" w:line="240" w:lineRule="auto"/>
              <w:jc w:val="center"/>
              <w:rPr>
                <w:rFonts w:eastAsia="Times New Roman"/>
                <w:b/>
                <w:bCs/>
                <w:lang w:eastAsia="lt-LT"/>
              </w:rPr>
            </w:pPr>
          </w:p>
        </w:tc>
      </w:tr>
      <w:tr w:rsidR="0056557C" w:rsidRPr="0056557C" w14:paraId="4AACAF62" w14:textId="77777777" w:rsidTr="005C5BB0">
        <w:tc>
          <w:tcPr>
            <w:tcW w:w="696" w:type="dxa"/>
            <w:shd w:val="clear" w:color="auto" w:fill="auto"/>
          </w:tcPr>
          <w:p w14:paraId="76C2D3CC"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6.</w:t>
            </w:r>
          </w:p>
        </w:tc>
        <w:tc>
          <w:tcPr>
            <w:tcW w:w="6395" w:type="dxa"/>
            <w:shd w:val="clear" w:color="auto" w:fill="auto"/>
          </w:tcPr>
          <w:p w14:paraId="2B443B30"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Geležinkelio riedmenys (šilumvežiai, vagonai, cisternos), laivai</w:t>
            </w:r>
          </w:p>
        </w:tc>
        <w:tc>
          <w:tcPr>
            <w:tcW w:w="2763" w:type="dxa"/>
            <w:shd w:val="clear" w:color="auto" w:fill="auto"/>
          </w:tcPr>
          <w:p w14:paraId="739F6080"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8</w:t>
            </w:r>
          </w:p>
          <w:p w14:paraId="4445F3F4" w14:textId="77777777" w:rsidR="0056557C" w:rsidRPr="0056557C" w:rsidRDefault="0056557C" w:rsidP="005C5BB0">
            <w:pPr>
              <w:spacing w:after="0" w:line="240" w:lineRule="auto"/>
              <w:jc w:val="center"/>
              <w:rPr>
                <w:rFonts w:eastAsia="Times New Roman"/>
                <w:b/>
                <w:bCs/>
                <w:lang w:eastAsia="lt-LT"/>
              </w:rPr>
            </w:pPr>
          </w:p>
        </w:tc>
      </w:tr>
      <w:tr w:rsidR="0056557C" w:rsidRPr="0056557C" w14:paraId="42FD467F" w14:textId="77777777" w:rsidTr="005C5BB0">
        <w:tc>
          <w:tcPr>
            <w:tcW w:w="696" w:type="dxa"/>
            <w:shd w:val="clear" w:color="auto" w:fill="auto"/>
          </w:tcPr>
          <w:p w14:paraId="5DD110FA"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7.</w:t>
            </w:r>
          </w:p>
        </w:tc>
        <w:tc>
          <w:tcPr>
            <w:tcW w:w="6395" w:type="dxa"/>
            <w:shd w:val="clear" w:color="auto" w:fill="auto"/>
          </w:tcPr>
          <w:p w14:paraId="38852083"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Vamzdynai, lėktuvai, ginklai</w:t>
            </w:r>
          </w:p>
        </w:tc>
        <w:tc>
          <w:tcPr>
            <w:tcW w:w="2763" w:type="dxa"/>
            <w:shd w:val="clear" w:color="auto" w:fill="auto"/>
          </w:tcPr>
          <w:p w14:paraId="663D0553"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15</w:t>
            </w:r>
          </w:p>
          <w:p w14:paraId="4E0222C9" w14:textId="77777777" w:rsidR="0056557C" w:rsidRPr="0056557C" w:rsidRDefault="0056557C" w:rsidP="005C5BB0">
            <w:pPr>
              <w:spacing w:after="0" w:line="240" w:lineRule="auto"/>
              <w:jc w:val="center"/>
              <w:rPr>
                <w:rFonts w:eastAsia="Times New Roman"/>
                <w:b/>
                <w:bCs/>
                <w:lang w:eastAsia="lt-LT"/>
              </w:rPr>
            </w:pPr>
          </w:p>
        </w:tc>
      </w:tr>
      <w:tr w:rsidR="0056557C" w:rsidRPr="0056557C" w14:paraId="6E5CFAFB" w14:textId="77777777" w:rsidTr="005C5BB0">
        <w:tc>
          <w:tcPr>
            <w:tcW w:w="696" w:type="dxa"/>
            <w:shd w:val="clear" w:color="auto" w:fill="auto"/>
          </w:tcPr>
          <w:p w14:paraId="098648F0"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8.</w:t>
            </w:r>
          </w:p>
        </w:tc>
        <w:tc>
          <w:tcPr>
            <w:tcW w:w="6395" w:type="dxa"/>
            <w:shd w:val="clear" w:color="auto" w:fill="auto"/>
          </w:tcPr>
          <w:p w14:paraId="7FA8C7A5"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Baldai, inventorius</w:t>
            </w:r>
          </w:p>
        </w:tc>
        <w:tc>
          <w:tcPr>
            <w:tcW w:w="2763" w:type="dxa"/>
            <w:shd w:val="clear" w:color="auto" w:fill="auto"/>
          </w:tcPr>
          <w:p w14:paraId="09000872"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6</w:t>
            </w:r>
          </w:p>
          <w:p w14:paraId="6150A87F" w14:textId="77777777" w:rsidR="0056557C" w:rsidRPr="0056557C" w:rsidRDefault="0056557C" w:rsidP="005C5BB0">
            <w:pPr>
              <w:spacing w:after="0" w:line="240" w:lineRule="auto"/>
              <w:jc w:val="center"/>
              <w:rPr>
                <w:rFonts w:eastAsia="Times New Roman"/>
                <w:b/>
                <w:bCs/>
                <w:lang w:eastAsia="lt-LT"/>
              </w:rPr>
            </w:pPr>
          </w:p>
        </w:tc>
      </w:tr>
      <w:tr w:rsidR="0056557C" w:rsidRPr="0056557C" w14:paraId="17785A18" w14:textId="77777777" w:rsidTr="005C5BB0">
        <w:tc>
          <w:tcPr>
            <w:tcW w:w="696" w:type="dxa"/>
            <w:shd w:val="clear" w:color="auto" w:fill="auto"/>
          </w:tcPr>
          <w:p w14:paraId="00157024"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9.</w:t>
            </w:r>
          </w:p>
        </w:tc>
        <w:tc>
          <w:tcPr>
            <w:tcW w:w="6395" w:type="dxa"/>
            <w:shd w:val="clear" w:color="auto" w:fill="auto"/>
          </w:tcPr>
          <w:p w14:paraId="517BB96B"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Kompiuterinė technika ir ryšių priemonės (kompiuteriai, jų tinklai ir įranga)</w:t>
            </w:r>
          </w:p>
        </w:tc>
        <w:tc>
          <w:tcPr>
            <w:tcW w:w="2763" w:type="dxa"/>
            <w:shd w:val="clear" w:color="auto" w:fill="auto"/>
          </w:tcPr>
          <w:p w14:paraId="12851B63"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3</w:t>
            </w:r>
          </w:p>
        </w:tc>
      </w:tr>
      <w:tr w:rsidR="0056557C" w:rsidRPr="0056557C" w14:paraId="4A512258" w14:textId="77777777" w:rsidTr="005C5BB0">
        <w:tc>
          <w:tcPr>
            <w:tcW w:w="696" w:type="dxa"/>
            <w:shd w:val="clear" w:color="auto" w:fill="auto"/>
          </w:tcPr>
          <w:p w14:paraId="7F24F5E0"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10.</w:t>
            </w:r>
          </w:p>
        </w:tc>
        <w:tc>
          <w:tcPr>
            <w:tcW w:w="9158" w:type="dxa"/>
            <w:gridSpan w:val="2"/>
            <w:shd w:val="clear" w:color="auto" w:fill="auto"/>
          </w:tcPr>
          <w:p w14:paraId="47F98431"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Lengvieji automobiliai:</w:t>
            </w:r>
          </w:p>
        </w:tc>
      </w:tr>
      <w:tr w:rsidR="0056557C" w:rsidRPr="0056557C" w14:paraId="3594015B" w14:textId="77777777" w:rsidTr="005C5BB0">
        <w:tc>
          <w:tcPr>
            <w:tcW w:w="696" w:type="dxa"/>
            <w:shd w:val="clear" w:color="auto" w:fill="auto"/>
          </w:tcPr>
          <w:p w14:paraId="259F5BF1"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10.1.</w:t>
            </w:r>
          </w:p>
        </w:tc>
        <w:tc>
          <w:tcPr>
            <w:tcW w:w="6395" w:type="dxa"/>
            <w:shd w:val="clear" w:color="auto" w:fill="auto"/>
          </w:tcPr>
          <w:p w14:paraId="6D96FB73" w14:textId="77777777" w:rsidR="0056557C" w:rsidRPr="0056557C" w:rsidRDefault="0056557C" w:rsidP="005C5BB0">
            <w:pPr>
              <w:spacing w:after="0" w:line="240" w:lineRule="auto"/>
              <w:jc w:val="both"/>
              <w:rPr>
                <w:rFonts w:eastAsia="Times New Roman"/>
                <w:b/>
                <w:bCs/>
                <w:lang w:eastAsia="lt-LT"/>
              </w:rPr>
            </w:pPr>
            <w:r w:rsidRPr="0056557C">
              <w:rPr>
                <w:rFonts w:eastAsia="Times New Roman"/>
                <w:b/>
                <w:bCs/>
                <w:lang w:eastAsia="lt-LT"/>
              </w:rPr>
              <w:t>naudojami trumpalaikės automobilių nuomos veiklai, vairavimo mokymo paslaugoms ar transporto paslaugoms teikti – ne senesni kaip 5 metų</w:t>
            </w:r>
          </w:p>
        </w:tc>
        <w:tc>
          <w:tcPr>
            <w:tcW w:w="2763" w:type="dxa"/>
            <w:shd w:val="clear" w:color="auto" w:fill="auto"/>
          </w:tcPr>
          <w:p w14:paraId="54394EE1"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4</w:t>
            </w:r>
          </w:p>
        </w:tc>
      </w:tr>
      <w:tr w:rsidR="0056557C" w:rsidRPr="0056557C" w14:paraId="64E25175" w14:textId="77777777" w:rsidTr="005C5BB0">
        <w:tc>
          <w:tcPr>
            <w:tcW w:w="696" w:type="dxa"/>
            <w:shd w:val="clear" w:color="auto" w:fill="auto"/>
          </w:tcPr>
          <w:p w14:paraId="0A04BDF4"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10.2.</w:t>
            </w:r>
          </w:p>
        </w:tc>
        <w:tc>
          <w:tcPr>
            <w:tcW w:w="6395" w:type="dxa"/>
            <w:shd w:val="clear" w:color="auto" w:fill="auto"/>
          </w:tcPr>
          <w:p w14:paraId="72F7EE76" w14:textId="77777777" w:rsidR="0056557C" w:rsidRPr="0056557C" w:rsidRDefault="0056557C" w:rsidP="005C5BB0">
            <w:pPr>
              <w:spacing w:after="0" w:line="240" w:lineRule="auto"/>
              <w:jc w:val="both"/>
              <w:rPr>
                <w:rFonts w:eastAsia="Times New Roman"/>
                <w:b/>
                <w:bCs/>
                <w:lang w:eastAsia="lt-LT"/>
              </w:rPr>
            </w:pPr>
            <w:r w:rsidRPr="0056557C">
              <w:rPr>
                <w:rFonts w:eastAsia="Times New Roman"/>
                <w:b/>
                <w:bCs/>
                <w:lang w:eastAsia="lt-LT"/>
              </w:rPr>
              <w:t>lengvieji automobiliai, išskyrus 10.1 punkte nurodytus,  – ne senesni kaip 5 metų</w:t>
            </w:r>
          </w:p>
        </w:tc>
        <w:tc>
          <w:tcPr>
            <w:tcW w:w="2763" w:type="dxa"/>
            <w:shd w:val="clear" w:color="auto" w:fill="auto"/>
          </w:tcPr>
          <w:p w14:paraId="2C84273E"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6</w:t>
            </w:r>
          </w:p>
        </w:tc>
      </w:tr>
      <w:tr w:rsidR="0056557C" w:rsidRPr="0056557C" w14:paraId="6E8D0B7B" w14:textId="77777777" w:rsidTr="005C5BB0">
        <w:tc>
          <w:tcPr>
            <w:tcW w:w="696" w:type="dxa"/>
            <w:shd w:val="clear" w:color="auto" w:fill="auto"/>
          </w:tcPr>
          <w:p w14:paraId="595BF0D6"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10.3.</w:t>
            </w:r>
          </w:p>
        </w:tc>
        <w:tc>
          <w:tcPr>
            <w:tcW w:w="6395" w:type="dxa"/>
            <w:shd w:val="clear" w:color="auto" w:fill="auto"/>
          </w:tcPr>
          <w:p w14:paraId="37331AD5" w14:textId="77777777" w:rsidR="0056557C" w:rsidRPr="0056557C" w:rsidRDefault="0056557C" w:rsidP="005C5BB0">
            <w:pPr>
              <w:spacing w:after="0" w:line="240" w:lineRule="auto"/>
              <w:jc w:val="both"/>
              <w:rPr>
                <w:rFonts w:eastAsia="Times New Roman"/>
                <w:b/>
                <w:bCs/>
                <w:lang w:eastAsia="lt-LT"/>
              </w:rPr>
            </w:pPr>
            <w:r w:rsidRPr="0056557C">
              <w:rPr>
                <w:rFonts w:eastAsia="Times New Roman"/>
                <w:b/>
                <w:bCs/>
                <w:lang w:eastAsia="lt-LT"/>
              </w:rPr>
              <w:t>kiti lengvieji automobiliai</w:t>
            </w:r>
          </w:p>
        </w:tc>
        <w:tc>
          <w:tcPr>
            <w:tcW w:w="2763" w:type="dxa"/>
            <w:shd w:val="clear" w:color="auto" w:fill="auto"/>
          </w:tcPr>
          <w:p w14:paraId="3E993618"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10</w:t>
            </w:r>
          </w:p>
          <w:p w14:paraId="16BD12F5" w14:textId="77777777" w:rsidR="0056557C" w:rsidRPr="0056557C" w:rsidRDefault="0056557C" w:rsidP="005C5BB0">
            <w:pPr>
              <w:spacing w:after="0" w:line="240" w:lineRule="auto"/>
              <w:jc w:val="center"/>
              <w:rPr>
                <w:rFonts w:eastAsia="Times New Roman"/>
                <w:b/>
                <w:bCs/>
                <w:lang w:eastAsia="lt-LT"/>
              </w:rPr>
            </w:pPr>
          </w:p>
        </w:tc>
      </w:tr>
      <w:tr w:rsidR="0056557C" w:rsidRPr="0056557C" w14:paraId="4DCE144A" w14:textId="77777777" w:rsidTr="005C5BB0">
        <w:tc>
          <w:tcPr>
            <w:tcW w:w="696" w:type="dxa"/>
            <w:shd w:val="clear" w:color="auto" w:fill="auto"/>
          </w:tcPr>
          <w:p w14:paraId="33FE5CA7"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11.</w:t>
            </w:r>
          </w:p>
        </w:tc>
        <w:tc>
          <w:tcPr>
            <w:tcW w:w="6395" w:type="dxa"/>
            <w:shd w:val="clear" w:color="auto" w:fill="auto"/>
          </w:tcPr>
          <w:p w14:paraId="40354CF5" w14:textId="77777777" w:rsidR="0056557C" w:rsidRPr="0056557C" w:rsidRDefault="0056557C" w:rsidP="005C5BB0">
            <w:pPr>
              <w:spacing w:after="0" w:line="240" w:lineRule="auto"/>
              <w:jc w:val="both"/>
              <w:rPr>
                <w:rFonts w:eastAsia="Times New Roman"/>
                <w:b/>
                <w:bCs/>
                <w:lang w:eastAsia="lt-LT"/>
              </w:rPr>
            </w:pPr>
            <w:r w:rsidRPr="0056557C">
              <w:rPr>
                <w:rFonts w:eastAsia="Times New Roman"/>
                <w:b/>
                <w:bCs/>
                <w:lang w:eastAsia="lt-LT"/>
              </w:rPr>
              <w:t>Krovininiai automobiliai, priekabos, puspriekabės, autobusai – ne senesni kaip 5 metų</w:t>
            </w:r>
          </w:p>
        </w:tc>
        <w:tc>
          <w:tcPr>
            <w:tcW w:w="2763" w:type="dxa"/>
            <w:shd w:val="clear" w:color="auto" w:fill="auto"/>
          </w:tcPr>
          <w:p w14:paraId="57D6281F"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4</w:t>
            </w:r>
          </w:p>
        </w:tc>
      </w:tr>
      <w:tr w:rsidR="0056557C" w:rsidRPr="0056557C" w14:paraId="793A81BC" w14:textId="77777777" w:rsidTr="005C5BB0">
        <w:tc>
          <w:tcPr>
            <w:tcW w:w="696" w:type="dxa"/>
            <w:shd w:val="clear" w:color="auto" w:fill="auto"/>
          </w:tcPr>
          <w:p w14:paraId="75ED2B5A"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12.</w:t>
            </w:r>
          </w:p>
        </w:tc>
        <w:tc>
          <w:tcPr>
            <w:tcW w:w="6395" w:type="dxa"/>
            <w:shd w:val="clear" w:color="auto" w:fill="auto"/>
          </w:tcPr>
          <w:p w14:paraId="26A51F0C" w14:textId="77777777" w:rsidR="0056557C" w:rsidRPr="0056557C" w:rsidRDefault="0056557C" w:rsidP="005C5BB0">
            <w:pPr>
              <w:spacing w:after="0" w:line="240" w:lineRule="auto"/>
              <w:jc w:val="both"/>
              <w:rPr>
                <w:rFonts w:eastAsia="Times New Roman"/>
                <w:b/>
                <w:bCs/>
                <w:lang w:eastAsia="lt-LT"/>
              </w:rPr>
            </w:pPr>
            <w:r w:rsidRPr="0056557C">
              <w:rPr>
                <w:rFonts w:eastAsia="Times New Roman"/>
                <w:b/>
                <w:bCs/>
                <w:lang w:eastAsia="lt-LT"/>
              </w:rPr>
              <w:t>Kiti krovininiai automobiliai, priekabos, puspriekabės,  autobusai</w:t>
            </w:r>
          </w:p>
        </w:tc>
        <w:tc>
          <w:tcPr>
            <w:tcW w:w="2763" w:type="dxa"/>
            <w:shd w:val="clear" w:color="auto" w:fill="auto"/>
          </w:tcPr>
          <w:p w14:paraId="27A4D2DF"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10</w:t>
            </w:r>
          </w:p>
        </w:tc>
      </w:tr>
      <w:tr w:rsidR="0056557C" w:rsidRPr="0056557C" w14:paraId="110AE067" w14:textId="77777777" w:rsidTr="005C5BB0">
        <w:tc>
          <w:tcPr>
            <w:tcW w:w="696" w:type="dxa"/>
            <w:shd w:val="clear" w:color="auto" w:fill="auto"/>
          </w:tcPr>
          <w:p w14:paraId="54900980" w14:textId="77777777" w:rsidR="0056557C" w:rsidRPr="0056557C" w:rsidRDefault="0056557C" w:rsidP="005C5BB0">
            <w:pPr>
              <w:spacing w:after="0" w:line="240" w:lineRule="auto"/>
              <w:rPr>
                <w:rFonts w:eastAsia="Times New Roman"/>
                <w:b/>
                <w:bCs/>
                <w:lang w:eastAsia="lt-LT"/>
              </w:rPr>
            </w:pPr>
            <w:r w:rsidRPr="0056557C">
              <w:rPr>
                <w:rFonts w:eastAsia="Times New Roman"/>
                <w:b/>
                <w:bCs/>
                <w:lang w:eastAsia="lt-LT"/>
              </w:rPr>
              <w:t>13.</w:t>
            </w:r>
          </w:p>
        </w:tc>
        <w:tc>
          <w:tcPr>
            <w:tcW w:w="6395" w:type="dxa"/>
            <w:shd w:val="clear" w:color="auto" w:fill="auto"/>
          </w:tcPr>
          <w:p w14:paraId="34C9453F" w14:textId="77777777" w:rsidR="0056557C" w:rsidRPr="0056557C" w:rsidRDefault="0056557C" w:rsidP="005C5BB0">
            <w:pPr>
              <w:spacing w:after="0" w:line="240" w:lineRule="auto"/>
              <w:jc w:val="both"/>
              <w:rPr>
                <w:rFonts w:eastAsia="Times New Roman"/>
                <w:b/>
                <w:bCs/>
                <w:lang w:eastAsia="lt-LT"/>
              </w:rPr>
            </w:pPr>
            <w:r w:rsidRPr="0056557C">
              <w:rPr>
                <w:rFonts w:eastAsia="Times New Roman"/>
                <w:b/>
                <w:bCs/>
                <w:lang w:eastAsia="lt-LT"/>
              </w:rPr>
              <w:t>Kitas materialusis turtas</w:t>
            </w:r>
          </w:p>
        </w:tc>
        <w:tc>
          <w:tcPr>
            <w:tcW w:w="2763" w:type="dxa"/>
            <w:shd w:val="clear" w:color="auto" w:fill="auto"/>
          </w:tcPr>
          <w:p w14:paraId="2872623F" w14:textId="77777777" w:rsidR="0056557C" w:rsidRPr="0056557C" w:rsidRDefault="0056557C" w:rsidP="005C5BB0">
            <w:pPr>
              <w:spacing w:after="0" w:line="240" w:lineRule="auto"/>
              <w:jc w:val="center"/>
              <w:rPr>
                <w:rFonts w:eastAsia="Times New Roman"/>
                <w:b/>
                <w:bCs/>
                <w:lang w:eastAsia="lt-LT"/>
              </w:rPr>
            </w:pPr>
            <w:r w:rsidRPr="0056557C">
              <w:rPr>
                <w:rFonts w:eastAsia="Times New Roman"/>
                <w:b/>
                <w:bCs/>
                <w:lang w:eastAsia="lt-LT"/>
              </w:rPr>
              <w:t>4</w:t>
            </w:r>
          </w:p>
          <w:p w14:paraId="472FD4FE" w14:textId="77777777" w:rsidR="0056557C" w:rsidRPr="0056557C" w:rsidRDefault="0056557C" w:rsidP="005C5BB0">
            <w:pPr>
              <w:spacing w:after="0" w:line="240" w:lineRule="auto"/>
              <w:jc w:val="center"/>
              <w:rPr>
                <w:rFonts w:eastAsia="Times New Roman"/>
                <w:b/>
                <w:bCs/>
                <w:lang w:eastAsia="lt-LT"/>
              </w:rPr>
            </w:pPr>
          </w:p>
        </w:tc>
      </w:tr>
    </w:tbl>
    <w:p w14:paraId="78C34749" w14:textId="66DEA613" w:rsidR="006A1279" w:rsidRPr="0056557C" w:rsidRDefault="006A1279" w:rsidP="000C5E94">
      <w:pPr>
        <w:spacing w:after="0" w:line="240" w:lineRule="auto"/>
        <w:jc w:val="center"/>
        <w:rPr>
          <w:rFonts w:eastAsia="Times New Roman"/>
          <w:b/>
          <w:bCs/>
        </w:rPr>
      </w:pPr>
    </w:p>
    <w:p w14:paraId="47D1BAB7" w14:textId="283D35A6" w:rsidR="0056557C" w:rsidRPr="0056557C" w:rsidRDefault="0056557C" w:rsidP="000C5E94">
      <w:pPr>
        <w:spacing w:after="0" w:line="240" w:lineRule="auto"/>
        <w:jc w:val="center"/>
        <w:rPr>
          <w:rFonts w:eastAsia="Times New Roman"/>
          <w:b/>
          <w:bCs/>
        </w:rPr>
      </w:pPr>
      <w:r w:rsidRPr="0056557C">
        <w:rPr>
          <w:rFonts w:eastAsia="Times New Roman"/>
          <w:b/>
          <w:bCs/>
        </w:rPr>
        <w:t>______________________</w:t>
      </w:r>
    </w:p>
    <w:sectPr w:rsidR="0056557C" w:rsidRPr="0056557C" w:rsidSect="00CC06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04D0" w14:textId="77777777" w:rsidR="00401E06" w:rsidRDefault="00401E06" w:rsidP="00D766E1">
      <w:pPr>
        <w:spacing w:after="0" w:line="240" w:lineRule="auto"/>
      </w:pPr>
      <w:r>
        <w:separator/>
      </w:r>
    </w:p>
  </w:endnote>
  <w:endnote w:type="continuationSeparator" w:id="0">
    <w:p w14:paraId="0D86E21F" w14:textId="77777777" w:rsidR="00401E06" w:rsidRDefault="00401E0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A124" w14:textId="77777777" w:rsidR="00401E06" w:rsidRDefault="00401E06" w:rsidP="00D766E1">
      <w:pPr>
        <w:spacing w:after="0" w:line="240" w:lineRule="auto"/>
      </w:pPr>
      <w:r>
        <w:separator/>
      </w:r>
    </w:p>
  </w:footnote>
  <w:footnote w:type="continuationSeparator" w:id="0">
    <w:p w14:paraId="4BEC3312" w14:textId="77777777" w:rsidR="00401E06" w:rsidRDefault="00401E06" w:rsidP="00D7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40E1D13"/>
    <w:multiLevelType w:val="hybridMultilevel"/>
    <w:tmpl w:val="2C7CEF16"/>
    <w:lvl w:ilvl="0" w:tplc="C27A36E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0"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16cid:durableId="1784302392">
    <w:abstractNumId w:val="0"/>
  </w:num>
  <w:num w:numId="2" w16cid:durableId="963079023">
    <w:abstractNumId w:val="1"/>
  </w:num>
  <w:num w:numId="3" w16cid:durableId="1448113907">
    <w:abstractNumId w:val="9"/>
  </w:num>
  <w:num w:numId="4" w16cid:durableId="1469009277">
    <w:abstractNumId w:val="6"/>
  </w:num>
  <w:num w:numId="5" w16cid:durableId="801113833">
    <w:abstractNumId w:val="2"/>
  </w:num>
  <w:num w:numId="6" w16cid:durableId="2075201380">
    <w:abstractNumId w:val="7"/>
  </w:num>
  <w:num w:numId="7" w16cid:durableId="1548757591">
    <w:abstractNumId w:val="10"/>
  </w:num>
  <w:num w:numId="8" w16cid:durableId="34044301">
    <w:abstractNumId w:val="5"/>
  </w:num>
  <w:num w:numId="9" w16cid:durableId="215548067">
    <w:abstractNumId w:val="11"/>
  </w:num>
  <w:num w:numId="10" w16cid:durableId="490218587">
    <w:abstractNumId w:val="4"/>
  </w:num>
  <w:num w:numId="11" w16cid:durableId="1968464539">
    <w:abstractNumId w:val="8"/>
  </w:num>
  <w:num w:numId="12" w16cid:durableId="660279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0219F"/>
    <w:rsid w:val="00007366"/>
    <w:rsid w:val="00010033"/>
    <w:rsid w:val="000108FD"/>
    <w:rsid w:val="0001414F"/>
    <w:rsid w:val="00014E5D"/>
    <w:rsid w:val="000229B7"/>
    <w:rsid w:val="00025704"/>
    <w:rsid w:val="00026491"/>
    <w:rsid w:val="0003184D"/>
    <w:rsid w:val="000362AC"/>
    <w:rsid w:val="000362E4"/>
    <w:rsid w:val="00043B24"/>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65BF"/>
    <w:rsid w:val="00067287"/>
    <w:rsid w:val="00073B5E"/>
    <w:rsid w:val="00074918"/>
    <w:rsid w:val="0007594F"/>
    <w:rsid w:val="00076B85"/>
    <w:rsid w:val="00076E5F"/>
    <w:rsid w:val="00077D81"/>
    <w:rsid w:val="00080213"/>
    <w:rsid w:val="00080902"/>
    <w:rsid w:val="00081FF7"/>
    <w:rsid w:val="0008395F"/>
    <w:rsid w:val="00083C78"/>
    <w:rsid w:val="0008756D"/>
    <w:rsid w:val="0009021A"/>
    <w:rsid w:val="00094269"/>
    <w:rsid w:val="000949A2"/>
    <w:rsid w:val="000957D4"/>
    <w:rsid w:val="00095871"/>
    <w:rsid w:val="000A0785"/>
    <w:rsid w:val="000A3458"/>
    <w:rsid w:val="000A5CDE"/>
    <w:rsid w:val="000B00B4"/>
    <w:rsid w:val="000B2279"/>
    <w:rsid w:val="000B430F"/>
    <w:rsid w:val="000B4A92"/>
    <w:rsid w:val="000B5187"/>
    <w:rsid w:val="000B57BA"/>
    <w:rsid w:val="000B5E4B"/>
    <w:rsid w:val="000C0F91"/>
    <w:rsid w:val="000C1E0A"/>
    <w:rsid w:val="000C276E"/>
    <w:rsid w:val="000C2BA2"/>
    <w:rsid w:val="000C5E94"/>
    <w:rsid w:val="000C7A9F"/>
    <w:rsid w:val="000D133B"/>
    <w:rsid w:val="000D19D7"/>
    <w:rsid w:val="000D475B"/>
    <w:rsid w:val="000D47C3"/>
    <w:rsid w:val="000D67F5"/>
    <w:rsid w:val="000D6D6D"/>
    <w:rsid w:val="000D6E4E"/>
    <w:rsid w:val="000D7AAB"/>
    <w:rsid w:val="000E1C10"/>
    <w:rsid w:val="000E4759"/>
    <w:rsid w:val="000E4DD1"/>
    <w:rsid w:val="000E5EDA"/>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07452"/>
    <w:rsid w:val="0011004B"/>
    <w:rsid w:val="001143B9"/>
    <w:rsid w:val="00115280"/>
    <w:rsid w:val="001154F0"/>
    <w:rsid w:val="00115F7C"/>
    <w:rsid w:val="00117C8D"/>
    <w:rsid w:val="00126B0C"/>
    <w:rsid w:val="00127C7B"/>
    <w:rsid w:val="00127FCE"/>
    <w:rsid w:val="001323FC"/>
    <w:rsid w:val="00132B5C"/>
    <w:rsid w:val="00133F8C"/>
    <w:rsid w:val="001372D3"/>
    <w:rsid w:val="00140B9B"/>
    <w:rsid w:val="00140C95"/>
    <w:rsid w:val="00140EF4"/>
    <w:rsid w:val="00142456"/>
    <w:rsid w:val="00142923"/>
    <w:rsid w:val="00143BC9"/>
    <w:rsid w:val="0015003A"/>
    <w:rsid w:val="001519AE"/>
    <w:rsid w:val="00151B70"/>
    <w:rsid w:val="00151CB5"/>
    <w:rsid w:val="001533DB"/>
    <w:rsid w:val="00153B32"/>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4573"/>
    <w:rsid w:val="001C5B42"/>
    <w:rsid w:val="001D2E42"/>
    <w:rsid w:val="001D41FC"/>
    <w:rsid w:val="001D5466"/>
    <w:rsid w:val="001D5965"/>
    <w:rsid w:val="001D6025"/>
    <w:rsid w:val="001D6610"/>
    <w:rsid w:val="001E0B63"/>
    <w:rsid w:val="001E0CFC"/>
    <w:rsid w:val="001E638E"/>
    <w:rsid w:val="001F0DFD"/>
    <w:rsid w:val="001F3605"/>
    <w:rsid w:val="001F4676"/>
    <w:rsid w:val="001F6F3F"/>
    <w:rsid w:val="002046D6"/>
    <w:rsid w:val="002068B5"/>
    <w:rsid w:val="00207B29"/>
    <w:rsid w:val="002115F7"/>
    <w:rsid w:val="002125B5"/>
    <w:rsid w:val="00214021"/>
    <w:rsid w:val="002173CD"/>
    <w:rsid w:val="00217C2F"/>
    <w:rsid w:val="002225E9"/>
    <w:rsid w:val="00223E07"/>
    <w:rsid w:val="0022527A"/>
    <w:rsid w:val="00230A9C"/>
    <w:rsid w:val="002341DF"/>
    <w:rsid w:val="00235E24"/>
    <w:rsid w:val="00236931"/>
    <w:rsid w:val="00241D7F"/>
    <w:rsid w:val="0024306C"/>
    <w:rsid w:val="00244228"/>
    <w:rsid w:val="00244B82"/>
    <w:rsid w:val="00246E18"/>
    <w:rsid w:val="00247D81"/>
    <w:rsid w:val="00250FD1"/>
    <w:rsid w:val="00253159"/>
    <w:rsid w:val="002545E0"/>
    <w:rsid w:val="00254FA8"/>
    <w:rsid w:val="00255A85"/>
    <w:rsid w:val="002573B6"/>
    <w:rsid w:val="002603E8"/>
    <w:rsid w:val="00260FBE"/>
    <w:rsid w:val="002615F6"/>
    <w:rsid w:val="0026217D"/>
    <w:rsid w:val="0026221A"/>
    <w:rsid w:val="00262CC5"/>
    <w:rsid w:val="00264E38"/>
    <w:rsid w:val="00267731"/>
    <w:rsid w:val="002719B1"/>
    <w:rsid w:val="00271E14"/>
    <w:rsid w:val="00271FDB"/>
    <w:rsid w:val="002722F0"/>
    <w:rsid w:val="00272D1B"/>
    <w:rsid w:val="00275458"/>
    <w:rsid w:val="002760E1"/>
    <w:rsid w:val="00277E9A"/>
    <w:rsid w:val="0028205F"/>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B6B61"/>
    <w:rsid w:val="002C0538"/>
    <w:rsid w:val="002C06EC"/>
    <w:rsid w:val="002C0F7F"/>
    <w:rsid w:val="002C10DD"/>
    <w:rsid w:val="002C1AEC"/>
    <w:rsid w:val="002C2D6E"/>
    <w:rsid w:val="002C5283"/>
    <w:rsid w:val="002C6201"/>
    <w:rsid w:val="002C7C85"/>
    <w:rsid w:val="002D0A94"/>
    <w:rsid w:val="002D0D32"/>
    <w:rsid w:val="002D1654"/>
    <w:rsid w:val="002D3253"/>
    <w:rsid w:val="002D5431"/>
    <w:rsid w:val="002D6B9F"/>
    <w:rsid w:val="002D756E"/>
    <w:rsid w:val="002E1141"/>
    <w:rsid w:val="002F0D05"/>
    <w:rsid w:val="002F24FE"/>
    <w:rsid w:val="002F459E"/>
    <w:rsid w:val="002F727D"/>
    <w:rsid w:val="002F7D20"/>
    <w:rsid w:val="002F7D52"/>
    <w:rsid w:val="00300862"/>
    <w:rsid w:val="003011EE"/>
    <w:rsid w:val="003021CB"/>
    <w:rsid w:val="0030327B"/>
    <w:rsid w:val="003077B8"/>
    <w:rsid w:val="00310079"/>
    <w:rsid w:val="0031125D"/>
    <w:rsid w:val="00311445"/>
    <w:rsid w:val="00311813"/>
    <w:rsid w:val="00313E8C"/>
    <w:rsid w:val="00321264"/>
    <w:rsid w:val="00321F38"/>
    <w:rsid w:val="003235A5"/>
    <w:rsid w:val="003276CE"/>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4B0A"/>
    <w:rsid w:val="00365043"/>
    <w:rsid w:val="0036505A"/>
    <w:rsid w:val="0036568C"/>
    <w:rsid w:val="003667D3"/>
    <w:rsid w:val="003671A1"/>
    <w:rsid w:val="00367B69"/>
    <w:rsid w:val="003748D8"/>
    <w:rsid w:val="00377274"/>
    <w:rsid w:val="00380A71"/>
    <w:rsid w:val="00383146"/>
    <w:rsid w:val="00384101"/>
    <w:rsid w:val="003843C6"/>
    <w:rsid w:val="00386B73"/>
    <w:rsid w:val="003878F1"/>
    <w:rsid w:val="00391E40"/>
    <w:rsid w:val="003929E2"/>
    <w:rsid w:val="00395C45"/>
    <w:rsid w:val="003A167D"/>
    <w:rsid w:val="003A295E"/>
    <w:rsid w:val="003A2CF0"/>
    <w:rsid w:val="003A405D"/>
    <w:rsid w:val="003A4492"/>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1E06"/>
    <w:rsid w:val="00402A3A"/>
    <w:rsid w:val="00406845"/>
    <w:rsid w:val="00406CD1"/>
    <w:rsid w:val="00410540"/>
    <w:rsid w:val="00411C88"/>
    <w:rsid w:val="00413F50"/>
    <w:rsid w:val="00415739"/>
    <w:rsid w:val="00415DEA"/>
    <w:rsid w:val="00415FB0"/>
    <w:rsid w:val="00416107"/>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7F6"/>
    <w:rsid w:val="00431B29"/>
    <w:rsid w:val="00432B17"/>
    <w:rsid w:val="00432D08"/>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0CD3"/>
    <w:rsid w:val="004C19E6"/>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2878"/>
    <w:rsid w:val="0050290B"/>
    <w:rsid w:val="0050291F"/>
    <w:rsid w:val="0050464D"/>
    <w:rsid w:val="005076D6"/>
    <w:rsid w:val="005103E1"/>
    <w:rsid w:val="0051370F"/>
    <w:rsid w:val="00513C2F"/>
    <w:rsid w:val="00515BFF"/>
    <w:rsid w:val="0052038F"/>
    <w:rsid w:val="0052187A"/>
    <w:rsid w:val="005249E9"/>
    <w:rsid w:val="005278C6"/>
    <w:rsid w:val="005340D0"/>
    <w:rsid w:val="00534F69"/>
    <w:rsid w:val="00537518"/>
    <w:rsid w:val="005408E9"/>
    <w:rsid w:val="005455CE"/>
    <w:rsid w:val="00546150"/>
    <w:rsid w:val="00547846"/>
    <w:rsid w:val="005505B0"/>
    <w:rsid w:val="00551AD8"/>
    <w:rsid w:val="005553B2"/>
    <w:rsid w:val="005557A4"/>
    <w:rsid w:val="0056013A"/>
    <w:rsid w:val="00561200"/>
    <w:rsid w:val="00561A11"/>
    <w:rsid w:val="00562262"/>
    <w:rsid w:val="0056451E"/>
    <w:rsid w:val="00564D56"/>
    <w:rsid w:val="0056508C"/>
    <w:rsid w:val="0056557C"/>
    <w:rsid w:val="005657FE"/>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15C9"/>
    <w:rsid w:val="0059246C"/>
    <w:rsid w:val="0059571B"/>
    <w:rsid w:val="005A0A69"/>
    <w:rsid w:val="005A0D41"/>
    <w:rsid w:val="005A136F"/>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1DC"/>
    <w:rsid w:val="005C7493"/>
    <w:rsid w:val="005D0EA6"/>
    <w:rsid w:val="005D1948"/>
    <w:rsid w:val="005D5E1C"/>
    <w:rsid w:val="005D617A"/>
    <w:rsid w:val="005D7AC7"/>
    <w:rsid w:val="005E06C3"/>
    <w:rsid w:val="005E0944"/>
    <w:rsid w:val="005E2106"/>
    <w:rsid w:val="005E22D7"/>
    <w:rsid w:val="005E5471"/>
    <w:rsid w:val="005E57BC"/>
    <w:rsid w:val="005E5A56"/>
    <w:rsid w:val="005E668D"/>
    <w:rsid w:val="005E6824"/>
    <w:rsid w:val="005F03CD"/>
    <w:rsid w:val="005F08E5"/>
    <w:rsid w:val="005F0F2F"/>
    <w:rsid w:val="005F1CA6"/>
    <w:rsid w:val="005F25BC"/>
    <w:rsid w:val="005F3873"/>
    <w:rsid w:val="005F61C2"/>
    <w:rsid w:val="005F7014"/>
    <w:rsid w:val="005F77F7"/>
    <w:rsid w:val="0060337E"/>
    <w:rsid w:val="00603930"/>
    <w:rsid w:val="0060483F"/>
    <w:rsid w:val="00606036"/>
    <w:rsid w:val="00607AC0"/>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9E4"/>
    <w:rsid w:val="00645A0A"/>
    <w:rsid w:val="0065019F"/>
    <w:rsid w:val="00650CFD"/>
    <w:rsid w:val="00651668"/>
    <w:rsid w:val="00651A03"/>
    <w:rsid w:val="00652819"/>
    <w:rsid w:val="00652FD6"/>
    <w:rsid w:val="006539CC"/>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4F7A"/>
    <w:rsid w:val="006865B3"/>
    <w:rsid w:val="00687B3D"/>
    <w:rsid w:val="006932F8"/>
    <w:rsid w:val="0069447E"/>
    <w:rsid w:val="00694BE8"/>
    <w:rsid w:val="0069573E"/>
    <w:rsid w:val="00696C08"/>
    <w:rsid w:val="0069700F"/>
    <w:rsid w:val="006A03BF"/>
    <w:rsid w:val="006A0861"/>
    <w:rsid w:val="006A1279"/>
    <w:rsid w:val="006A30DE"/>
    <w:rsid w:val="006A3874"/>
    <w:rsid w:val="006A3F55"/>
    <w:rsid w:val="006A5771"/>
    <w:rsid w:val="006A5B58"/>
    <w:rsid w:val="006A74C6"/>
    <w:rsid w:val="006A771A"/>
    <w:rsid w:val="006B1611"/>
    <w:rsid w:val="006B50EC"/>
    <w:rsid w:val="006B6696"/>
    <w:rsid w:val="006C0590"/>
    <w:rsid w:val="006C121E"/>
    <w:rsid w:val="006C3544"/>
    <w:rsid w:val="006C3F71"/>
    <w:rsid w:val="006D01F0"/>
    <w:rsid w:val="006D2472"/>
    <w:rsid w:val="006D4459"/>
    <w:rsid w:val="006D44DC"/>
    <w:rsid w:val="006D79AC"/>
    <w:rsid w:val="006E548E"/>
    <w:rsid w:val="006E58BF"/>
    <w:rsid w:val="006E6C01"/>
    <w:rsid w:val="006E75F8"/>
    <w:rsid w:val="006F07DC"/>
    <w:rsid w:val="006F08A7"/>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418B"/>
    <w:rsid w:val="0079574E"/>
    <w:rsid w:val="007A050A"/>
    <w:rsid w:val="007A0B65"/>
    <w:rsid w:val="007A279A"/>
    <w:rsid w:val="007A63AE"/>
    <w:rsid w:val="007A64C7"/>
    <w:rsid w:val="007A67B0"/>
    <w:rsid w:val="007B067E"/>
    <w:rsid w:val="007B1B57"/>
    <w:rsid w:val="007B1B86"/>
    <w:rsid w:val="007B1D2C"/>
    <w:rsid w:val="007B24C9"/>
    <w:rsid w:val="007B29A3"/>
    <w:rsid w:val="007B373C"/>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BE4"/>
    <w:rsid w:val="007E1C2D"/>
    <w:rsid w:val="007E1D4B"/>
    <w:rsid w:val="007E4756"/>
    <w:rsid w:val="007E62C3"/>
    <w:rsid w:val="007E77D5"/>
    <w:rsid w:val="007F08FA"/>
    <w:rsid w:val="007F21B8"/>
    <w:rsid w:val="007F445F"/>
    <w:rsid w:val="007F48A8"/>
    <w:rsid w:val="007F4F6F"/>
    <w:rsid w:val="007F50AA"/>
    <w:rsid w:val="007F732C"/>
    <w:rsid w:val="007F7B78"/>
    <w:rsid w:val="00801535"/>
    <w:rsid w:val="008019D6"/>
    <w:rsid w:val="0080321A"/>
    <w:rsid w:val="00803A16"/>
    <w:rsid w:val="00803AE2"/>
    <w:rsid w:val="00805BE5"/>
    <w:rsid w:val="008066B4"/>
    <w:rsid w:val="008078CD"/>
    <w:rsid w:val="00807BD9"/>
    <w:rsid w:val="008133FB"/>
    <w:rsid w:val="008141A4"/>
    <w:rsid w:val="00822294"/>
    <w:rsid w:val="008279D6"/>
    <w:rsid w:val="008323F6"/>
    <w:rsid w:val="008328FC"/>
    <w:rsid w:val="00835B16"/>
    <w:rsid w:val="00835FF6"/>
    <w:rsid w:val="0084196C"/>
    <w:rsid w:val="00842138"/>
    <w:rsid w:val="0084423C"/>
    <w:rsid w:val="0084487F"/>
    <w:rsid w:val="008457CA"/>
    <w:rsid w:val="00845AE1"/>
    <w:rsid w:val="00850F02"/>
    <w:rsid w:val="008523F5"/>
    <w:rsid w:val="00856684"/>
    <w:rsid w:val="00856749"/>
    <w:rsid w:val="008619AA"/>
    <w:rsid w:val="00862610"/>
    <w:rsid w:val="008637CC"/>
    <w:rsid w:val="008708B0"/>
    <w:rsid w:val="008725FF"/>
    <w:rsid w:val="00872CCA"/>
    <w:rsid w:val="008742D6"/>
    <w:rsid w:val="0087435C"/>
    <w:rsid w:val="00881392"/>
    <w:rsid w:val="00882526"/>
    <w:rsid w:val="00882E8C"/>
    <w:rsid w:val="00883C2C"/>
    <w:rsid w:val="00885B9D"/>
    <w:rsid w:val="00891008"/>
    <w:rsid w:val="008916A8"/>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8A3"/>
    <w:rsid w:val="008D1C9A"/>
    <w:rsid w:val="008D3A41"/>
    <w:rsid w:val="008D42A6"/>
    <w:rsid w:val="008D7424"/>
    <w:rsid w:val="008E0B62"/>
    <w:rsid w:val="008E0C7C"/>
    <w:rsid w:val="008E0FDC"/>
    <w:rsid w:val="008E2CF7"/>
    <w:rsid w:val="008F060A"/>
    <w:rsid w:val="008F1DDF"/>
    <w:rsid w:val="008F3111"/>
    <w:rsid w:val="008F4CCC"/>
    <w:rsid w:val="008F6E90"/>
    <w:rsid w:val="008F75C9"/>
    <w:rsid w:val="0090122D"/>
    <w:rsid w:val="009016D8"/>
    <w:rsid w:val="0090179E"/>
    <w:rsid w:val="00901B8E"/>
    <w:rsid w:val="00901C48"/>
    <w:rsid w:val="00902CB9"/>
    <w:rsid w:val="009060BB"/>
    <w:rsid w:val="00907F1E"/>
    <w:rsid w:val="00910381"/>
    <w:rsid w:val="00910E97"/>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37AB"/>
    <w:rsid w:val="009539AA"/>
    <w:rsid w:val="0095731B"/>
    <w:rsid w:val="0096105F"/>
    <w:rsid w:val="009636E3"/>
    <w:rsid w:val="009639F0"/>
    <w:rsid w:val="0097145A"/>
    <w:rsid w:val="00971B66"/>
    <w:rsid w:val="00972706"/>
    <w:rsid w:val="009747E3"/>
    <w:rsid w:val="00975BF9"/>
    <w:rsid w:val="00975F08"/>
    <w:rsid w:val="0098085E"/>
    <w:rsid w:val="009859F0"/>
    <w:rsid w:val="00986438"/>
    <w:rsid w:val="00993075"/>
    <w:rsid w:val="00993DB0"/>
    <w:rsid w:val="00994685"/>
    <w:rsid w:val="0099518E"/>
    <w:rsid w:val="0099545E"/>
    <w:rsid w:val="00995A9E"/>
    <w:rsid w:val="009968C8"/>
    <w:rsid w:val="00996B47"/>
    <w:rsid w:val="009971A0"/>
    <w:rsid w:val="00997ABD"/>
    <w:rsid w:val="009A229A"/>
    <w:rsid w:val="009A3DAF"/>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7C75"/>
    <w:rsid w:val="00A20A26"/>
    <w:rsid w:val="00A21AB1"/>
    <w:rsid w:val="00A22BFE"/>
    <w:rsid w:val="00A2473E"/>
    <w:rsid w:val="00A266C7"/>
    <w:rsid w:val="00A26F83"/>
    <w:rsid w:val="00A271DD"/>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5EBB"/>
    <w:rsid w:val="00A4674D"/>
    <w:rsid w:val="00A46DE6"/>
    <w:rsid w:val="00A523EF"/>
    <w:rsid w:val="00A54397"/>
    <w:rsid w:val="00A54BE2"/>
    <w:rsid w:val="00A54DE0"/>
    <w:rsid w:val="00A55DBD"/>
    <w:rsid w:val="00A56675"/>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335A"/>
    <w:rsid w:val="00B1476A"/>
    <w:rsid w:val="00B15125"/>
    <w:rsid w:val="00B20473"/>
    <w:rsid w:val="00B22B3E"/>
    <w:rsid w:val="00B25912"/>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36E7"/>
    <w:rsid w:val="00B648B4"/>
    <w:rsid w:val="00B64C0D"/>
    <w:rsid w:val="00B75B9C"/>
    <w:rsid w:val="00B762CD"/>
    <w:rsid w:val="00B77D2F"/>
    <w:rsid w:val="00B80224"/>
    <w:rsid w:val="00B8184E"/>
    <w:rsid w:val="00B84B3D"/>
    <w:rsid w:val="00B8543B"/>
    <w:rsid w:val="00B8616A"/>
    <w:rsid w:val="00B913D4"/>
    <w:rsid w:val="00B937E2"/>
    <w:rsid w:val="00B94230"/>
    <w:rsid w:val="00B94F45"/>
    <w:rsid w:val="00B95987"/>
    <w:rsid w:val="00B95EA7"/>
    <w:rsid w:val="00B978E0"/>
    <w:rsid w:val="00B97A7E"/>
    <w:rsid w:val="00B97B52"/>
    <w:rsid w:val="00BA19F7"/>
    <w:rsid w:val="00BA2C9D"/>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6210"/>
    <w:rsid w:val="00BC6377"/>
    <w:rsid w:val="00BC75D5"/>
    <w:rsid w:val="00BD00AB"/>
    <w:rsid w:val="00BD4C4C"/>
    <w:rsid w:val="00BD52AD"/>
    <w:rsid w:val="00BE18CB"/>
    <w:rsid w:val="00BE4FBD"/>
    <w:rsid w:val="00BE5333"/>
    <w:rsid w:val="00BE5C13"/>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2553"/>
    <w:rsid w:val="00C32BE9"/>
    <w:rsid w:val="00C341CA"/>
    <w:rsid w:val="00C35D48"/>
    <w:rsid w:val="00C35F1C"/>
    <w:rsid w:val="00C37490"/>
    <w:rsid w:val="00C441DC"/>
    <w:rsid w:val="00C4457D"/>
    <w:rsid w:val="00C45550"/>
    <w:rsid w:val="00C45A6E"/>
    <w:rsid w:val="00C46585"/>
    <w:rsid w:val="00C46E8A"/>
    <w:rsid w:val="00C46FFC"/>
    <w:rsid w:val="00C47011"/>
    <w:rsid w:val="00C522F4"/>
    <w:rsid w:val="00C53BEA"/>
    <w:rsid w:val="00C54301"/>
    <w:rsid w:val="00C55782"/>
    <w:rsid w:val="00C571FA"/>
    <w:rsid w:val="00C576CF"/>
    <w:rsid w:val="00C60903"/>
    <w:rsid w:val="00C63BCB"/>
    <w:rsid w:val="00C667EE"/>
    <w:rsid w:val="00C726ED"/>
    <w:rsid w:val="00C75756"/>
    <w:rsid w:val="00C8011A"/>
    <w:rsid w:val="00C823C0"/>
    <w:rsid w:val="00C83D1F"/>
    <w:rsid w:val="00C85048"/>
    <w:rsid w:val="00C857F0"/>
    <w:rsid w:val="00C8741C"/>
    <w:rsid w:val="00C9115D"/>
    <w:rsid w:val="00C914CA"/>
    <w:rsid w:val="00C91C77"/>
    <w:rsid w:val="00C97316"/>
    <w:rsid w:val="00CA109C"/>
    <w:rsid w:val="00CA136B"/>
    <w:rsid w:val="00CA2812"/>
    <w:rsid w:val="00CA368A"/>
    <w:rsid w:val="00CA3B2D"/>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0613"/>
    <w:rsid w:val="00CC5AA9"/>
    <w:rsid w:val="00CC6C98"/>
    <w:rsid w:val="00CC6DFF"/>
    <w:rsid w:val="00CC6F8D"/>
    <w:rsid w:val="00CD04D6"/>
    <w:rsid w:val="00CD1395"/>
    <w:rsid w:val="00CD184A"/>
    <w:rsid w:val="00CD240A"/>
    <w:rsid w:val="00CD46E0"/>
    <w:rsid w:val="00CD5893"/>
    <w:rsid w:val="00CD6F52"/>
    <w:rsid w:val="00CE2D0C"/>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5C61"/>
    <w:rsid w:val="00D2665D"/>
    <w:rsid w:val="00D26ABD"/>
    <w:rsid w:val="00D26E3C"/>
    <w:rsid w:val="00D270B6"/>
    <w:rsid w:val="00D274B8"/>
    <w:rsid w:val="00D27684"/>
    <w:rsid w:val="00D27EFE"/>
    <w:rsid w:val="00D3546F"/>
    <w:rsid w:val="00D35496"/>
    <w:rsid w:val="00D41B2A"/>
    <w:rsid w:val="00D41E13"/>
    <w:rsid w:val="00D4298D"/>
    <w:rsid w:val="00D44BA3"/>
    <w:rsid w:val="00D453F6"/>
    <w:rsid w:val="00D45488"/>
    <w:rsid w:val="00D5022D"/>
    <w:rsid w:val="00D515A2"/>
    <w:rsid w:val="00D52BAE"/>
    <w:rsid w:val="00D55580"/>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5198"/>
    <w:rsid w:val="00DB7626"/>
    <w:rsid w:val="00DC1B2E"/>
    <w:rsid w:val="00DC1D64"/>
    <w:rsid w:val="00DC36D5"/>
    <w:rsid w:val="00DC72AD"/>
    <w:rsid w:val="00DC7F61"/>
    <w:rsid w:val="00DD5299"/>
    <w:rsid w:val="00DD7E9B"/>
    <w:rsid w:val="00DD7F7F"/>
    <w:rsid w:val="00DE04E2"/>
    <w:rsid w:val="00DE11E7"/>
    <w:rsid w:val="00DE2478"/>
    <w:rsid w:val="00DE31C9"/>
    <w:rsid w:val="00DE33BB"/>
    <w:rsid w:val="00DE6D58"/>
    <w:rsid w:val="00DF1E27"/>
    <w:rsid w:val="00DF235B"/>
    <w:rsid w:val="00DF42B6"/>
    <w:rsid w:val="00DF4899"/>
    <w:rsid w:val="00DF6134"/>
    <w:rsid w:val="00E042EF"/>
    <w:rsid w:val="00E04A3A"/>
    <w:rsid w:val="00E06498"/>
    <w:rsid w:val="00E06770"/>
    <w:rsid w:val="00E10639"/>
    <w:rsid w:val="00E143A3"/>
    <w:rsid w:val="00E145FF"/>
    <w:rsid w:val="00E14741"/>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14B1"/>
    <w:rsid w:val="00E73591"/>
    <w:rsid w:val="00E73930"/>
    <w:rsid w:val="00E740FE"/>
    <w:rsid w:val="00E76034"/>
    <w:rsid w:val="00E766E2"/>
    <w:rsid w:val="00E80A2E"/>
    <w:rsid w:val="00E81A41"/>
    <w:rsid w:val="00E81E6E"/>
    <w:rsid w:val="00E82DAA"/>
    <w:rsid w:val="00E85AB0"/>
    <w:rsid w:val="00E85E93"/>
    <w:rsid w:val="00E903C1"/>
    <w:rsid w:val="00E947F5"/>
    <w:rsid w:val="00E96720"/>
    <w:rsid w:val="00E97287"/>
    <w:rsid w:val="00EA2395"/>
    <w:rsid w:val="00EA460D"/>
    <w:rsid w:val="00EA655A"/>
    <w:rsid w:val="00EA6A81"/>
    <w:rsid w:val="00EA6C48"/>
    <w:rsid w:val="00EA78B6"/>
    <w:rsid w:val="00EA7CEE"/>
    <w:rsid w:val="00EB0735"/>
    <w:rsid w:val="00EB1D2D"/>
    <w:rsid w:val="00EB2D9B"/>
    <w:rsid w:val="00EB360D"/>
    <w:rsid w:val="00EB56EF"/>
    <w:rsid w:val="00EB6C7B"/>
    <w:rsid w:val="00EC1056"/>
    <w:rsid w:val="00EC10DB"/>
    <w:rsid w:val="00EC2178"/>
    <w:rsid w:val="00EC544E"/>
    <w:rsid w:val="00ED0A07"/>
    <w:rsid w:val="00ED1337"/>
    <w:rsid w:val="00ED49AB"/>
    <w:rsid w:val="00ED49E4"/>
    <w:rsid w:val="00ED6149"/>
    <w:rsid w:val="00ED74BC"/>
    <w:rsid w:val="00ED7710"/>
    <w:rsid w:val="00EE0B4F"/>
    <w:rsid w:val="00EE1153"/>
    <w:rsid w:val="00EE18F1"/>
    <w:rsid w:val="00EE2897"/>
    <w:rsid w:val="00EE3699"/>
    <w:rsid w:val="00EE4AC4"/>
    <w:rsid w:val="00EE4C99"/>
    <w:rsid w:val="00EF4226"/>
    <w:rsid w:val="00EF46F7"/>
    <w:rsid w:val="00EF48C7"/>
    <w:rsid w:val="00EF55C4"/>
    <w:rsid w:val="00F01694"/>
    <w:rsid w:val="00F0235C"/>
    <w:rsid w:val="00F04286"/>
    <w:rsid w:val="00F073AF"/>
    <w:rsid w:val="00F07B3D"/>
    <w:rsid w:val="00F106EC"/>
    <w:rsid w:val="00F1072C"/>
    <w:rsid w:val="00F119FA"/>
    <w:rsid w:val="00F11BF6"/>
    <w:rsid w:val="00F13587"/>
    <w:rsid w:val="00F144A1"/>
    <w:rsid w:val="00F153F0"/>
    <w:rsid w:val="00F157FB"/>
    <w:rsid w:val="00F15FCA"/>
    <w:rsid w:val="00F2166B"/>
    <w:rsid w:val="00F222FF"/>
    <w:rsid w:val="00F22715"/>
    <w:rsid w:val="00F2471B"/>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573"/>
    <w:rsid w:val="00F623CF"/>
    <w:rsid w:val="00F627E2"/>
    <w:rsid w:val="00F64AC3"/>
    <w:rsid w:val="00F65C1A"/>
    <w:rsid w:val="00F71DA3"/>
    <w:rsid w:val="00F72BA8"/>
    <w:rsid w:val="00F73C96"/>
    <w:rsid w:val="00F747DE"/>
    <w:rsid w:val="00F74A2D"/>
    <w:rsid w:val="00F752A7"/>
    <w:rsid w:val="00F75376"/>
    <w:rsid w:val="00F80148"/>
    <w:rsid w:val="00F80AAF"/>
    <w:rsid w:val="00F864B7"/>
    <w:rsid w:val="00F90F3B"/>
    <w:rsid w:val="00F91571"/>
    <w:rsid w:val="00F92BBC"/>
    <w:rsid w:val="00F92FB1"/>
    <w:rsid w:val="00F945C5"/>
    <w:rsid w:val="00F95394"/>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362F"/>
    <w:rsid w:val="00FC5AFE"/>
    <w:rsid w:val="00FC5EDA"/>
    <w:rsid w:val="00FC64B3"/>
    <w:rsid w:val="00FC72BA"/>
    <w:rsid w:val="00FD0417"/>
    <w:rsid w:val="00FD0431"/>
    <w:rsid w:val="00FD19F8"/>
    <w:rsid w:val="00FD3B8F"/>
    <w:rsid w:val="00FD61A3"/>
    <w:rsid w:val="00FE0B10"/>
    <w:rsid w:val="00FE1A0A"/>
    <w:rsid w:val="00FE2182"/>
    <w:rsid w:val="00FE22AD"/>
    <w:rsid w:val="00FE2AEC"/>
    <w:rsid w:val="00FE3080"/>
    <w:rsid w:val="00FE76D1"/>
    <w:rsid w:val="00FE79F3"/>
    <w:rsid w:val="00FF1210"/>
    <w:rsid w:val="00FF45F1"/>
    <w:rsid w:val="00FF50C5"/>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015E"/>
  <w15:docId w15:val="{AF8D55F0-251D-43BF-913B-1A00602E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55773408">
      <w:bodyDiv w:val="1"/>
      <w:marLeft w:val="0"/>
      <w:marRight w:val="0"/>
      <w:marTop w:val="0"/>
      <w:marBottom w:val="0"/>
      <w:divBdr>
        <w:top w:val="none" w:sz="0" w:space="0" w:color="auto"/>
        <w:left w:val="none" w:sz="0" w:space="0" w:color="auto"/>
        <w:bottom w:val="none" w:sz="0" w:space="0" w:color="auto"/>
        <w:right w:val="none" w:sz="0" w:space="0" w:color="auto"/>
      </w:divBdr>
      <w:divsChild>
        <w:div w:id="2090729856">
          <w:marLeft w:val="0"/>
          <w:marRight w:val="0"/>
          <w:marTop w:val="0"/>
          <w:marBottom w:val="0"/>
          <w:divBdr>
            <w:top w:val="none" w:sz="0" w:space="0" w:color="auto"/>
            <w:left w:val="none" w:sz="0" w:space="0" w:color="auto"/>
            <w:bottom w:val="none" w:sz="0" w:space="0" w:color="auto"/>
            <w:right w:val="none" w:sz="0" w:space="0" w:color="auto"/>
          </w:divBdr>
        </w:div>
        <w:div w:id="358316855">
          <w:marLeft w:val="0"/>
          <w:marRight w:val="0"/>
          <w:marTop w:val="0"/>
          <w:marBottom w:val="0"/>
          <w:divBdr>
            <w:top w:val="none" w:sz="0" w:space="0" w:color="auto"/>
            <w:left w:val="none" w:sz="0" w:space="0" w:color="auto"/>
            <w:bottom w:val="none" w:sz="0" w:space="0" w:color="auto"/>
            <w:right w:val="none" w:sz="0" w:space="0" w:color="auto"/>
          </w:divBdr>
        </w:div>
        <w:div w:id="733045394">
          <w:marLeft w:val="0"/>
          <w:marRight w:val="0"/>
          <w:marTop w:val="0"/>
          <w:marBottom w:val="0"/>
          <w:divBdr>
            <w:top w:val="none" w:sz="0" w:space="0" w:color="auto"/>
            <w:left w:val="none" w:sz="0" w:space="0" w:color="auto"/>
            <w:bottom w:val="none" w:sz="0" w:space="0" w:color="auto"/>
            <w:right w:val="none" w:sz="0" w:space="0" w:color="auto"/>
          </w:divBdr>
        </w:div>
        <w:div w:id="547572616">
          <w:marLeft w:val="0"/>
          <w:marRight w:val="0"/>
          <w:marTop w:val="0"/>
          <w:marBottom w:val="0"/>
          <w:divBdr>
            <w:top w:val="none" w:sz="0" w:space="0" w:color="auto"/>
            <w:left w:val="none" w:sz="0" w:space="0" w:color="auto"/>
            <w:bottom w:val="none" w:sz="0" w:space="0" w:color="auto"/>
            <w:right w:val="none" w:sz="0" w:space="0" w:color="auto"/>
          </w:divBdr>
        </w:div>
        <w:div w:id="974288927">
          <w:marLeft w:val="0"/>
          <w:marRight w:val="0"/>
          <w:marTop w:val="0"/>
          <w:marBottom w:val="0"/>
          <w:divBdr>
            <w:top w:val="none" w:sz="0" w:space="0" w:color="auto"/>
            <w:left w:val="none" w:sz="0" w:space="0" w:color="auto"/>
            <w:bottom w:val="none" w:sz="0" w:space="0" w:color="auto"/>
            <w:right w:val="none" w:sz="0" w:space="0" w:color="auto"/>
          </w:divBdr>
        </w:div>
        <w:div w:id="1554001405">
          <w:marLeft w:val="0"/>
          <w:marRight w:val="0"/>
          <w:marTop w:val="0"/>
          <w:marBottom w:val="0"/>
          <w:divBdr>
            <w:top w:val="none" w:sz="0" w:space="0" w:color="auto"/>
            <w:left w:val="none" w:sz="0" w:space="0" w:color="auto"/>
            <w:bottom w:val="none" w:sz="0" w:space="0" w:color="auto"/>
            <w:right w:val="none" w:sz="0" w:space="0" w:color="auto"/>
          </w:divBdr>
        </w:div>
        <w:div w:id="1398432775">
          <w:marLeft w:val="0"/>
          <w:marRight w:val="0"/>
          <w:marTop w:val="0"/>
          <w:marBottom w:val="0"/>
          <w:divBdr>
            <w:top w:val="none" w:sz="0" w:space="0" w:color="auto"/>
            <w:left w:val="none" w:sz="0" w:space="0" w:color="auto"/>
            <w:bottom w:val="none" w:sz="0" w:space="0" w:color="auto"/>
            <w:right w:val="none" w:sz="0" w:space="0" w:color="auto"/>
          </w:divBdr>
        </w:div>
        <w:div w:id="1985887534">
          <w:marLeft w:val="0"/>
          <w:marRight w:val="0"/>
          <w:marTop w:val="0"/>
          <w:marBottom w:val="0"/>
          <w:divBdr>
            <w:top w:val="none" w:sz="0" w:space="0" w:color="auto"/>
            <w:left w:val="none" w:sz="0" w:space="0" w:color="auto"/>
            <w:bottom w:val="none" w:sz="0" w:space="0" w:color="auto"/>
            <w:right w:val="none" w:sz="0" w:space="0" w:color="auto"/>
          </w:divBdr>
        </w:div>
      </w:divsChild>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sChild>
        <w:div w:id="619413473">
          <w:marLeft w:val="0"/>
          <w:marRight w:val="0"/>
          <w:marTop w:val="0"/>
          <w:marBottom w:val="0"/>
          <w:divBdr>
            <w:top w:val="none" w:sz="0" w:space="0" w:color="auto"/>
            <w:left w:val="none" w:sz="0" w:space="0" w:color="auto"/>
            <w:bottom w:val="none" w:sz="0" w:space="0" w:color="auto"/>
            <w:right w:val="none" w:sz="0" w:space="0" w:color="auto"/>
          </w:divBdr>
        </w:div>
        <w:div w:id="22174480">
          <w:marLeft w:val="0"/>
          <w:marRight w:val="0"/>
          <w:marTop w:val="0"/>
          <w:marBottom w:val="0"/>
          <w:divBdr>
            <w:top w:val="none" w:sz="0" w:space="0" w:color="auto"/>
            <w:left w:val="none" w:sz="0" w:space="0" w:color="auto"/>
            <w:bottom w:val="none" w:sz="0" w:space="0" w:color="auto"/>
            <w:right w:val="none" w:sz="0" w:space="0" w:color="auto"/>
          </w:divBdr>
        </w:div>
        <w:div w:id="485052260">
          <w:marLeft w:val="0"/>
          <w:marRight w:val="0"/>
          <w:marTop w:val="0"/>
          <w:marBottom w:val="0"/>
          <w:divBdr>
            <w:top w:val="none" w:sz="0" w:space="0" w:color="auto"/>
            <w:left w:val="none" w:sz="0" w:space="0" w:color="auto"/>
            <w:bottom w:val="none" w:sz="0" w:space="0" w:color="auto"/>
            <w:right w:val="none" w:sz="0" w:space="0" w:color="auto"/>
          </w:divBdr>
        </w:div>
        <w:div w:id="1004749619">
          <w:marLeft w:val="0"/>
          <w:marRight w:val="0"/>
          <w:marTop w:val="0"/>
          <w:marBottom w:val="0"/>
          <w:divBdr>
            <w:top w:val="none" w:sz="0" w:space="0" w:color="auto"/>
            <w:left w:val="none" w:sz="0" w:space="0" w:color="auto"/>
            <w:bottom w:val="none" w:sz="0" w:space="0" w:color="auto"/>
            <w:right w:val="none" w:sz="0" w:space="0" w:color="auto"/>
          </w:divBdr>
        </w:div>
        <w:div w:id="337083299">
          <w:marLeft w:val="0"/>
          <w:marRight w:val="0"/>
          <w:marTop w:val="0"/>
          <w:marBottom w:val="0"/>
          <w:divBdr>
            <w:top w:val="none" w:sz="0" w:space="0" w:color="auto"/>
            <w:left w:val="none" w:sz="0" w:space="0" w:color="auto"/>
            <w:bottom w:val="none" w:sz="0" w:space="0" w:color="auto"/>
            <w:right w:val="none" w:sz="0" w:space="0" w:color="auto"/>
          </w:divBdr>
        </w:div>
        <w:div w:id="1037779934">
          <w:marLeft w:val="0"/>
          <w:marRight w:val="0"/>
          <w:marTop w:val="0"/>
          <w:marBottom w:val="0"/>
          <w:divBdr>
            <w:top w:val="none" w:sz="0" w:space="0" w:color="auto"/>
            <w:left w:val="none" w:sz="0" w:space="0" w:color="auto"/>
            <w:bottom w:val="none" w:sz="0" w:space="0" w:color="auto"/>
            <w:right w:val="none" w:sz="0" w:space="0" w:color="auto"/>
          </w:divBdr>
        </w:div>
        <w:div w:id="1257397352">
          <w:marLeft w:val="0"/>
          <w:marRight w:val="0"/>
          <w:marTop w:val="0"/>
          <w:marBottom w:val="0"/>
          <w:divBdr>
            <w:top w:val="none" w:sz="0" w:space="0" w:color="auto"/>
            <w:left w:val="none" w:sz="0" w:space="0" w:color="auto"/>
            <w:bottom w:val="none" w:sz="0" w:space="0" w:color="auto"/>
            <w:right w:val="none" w:sz="0" w:space="0" w:color="auto"/>
          </w:divBdr>
        </w:div>
        <w:div w:id="753668709">
          <w:marLeft w:val="0"/>
          <w:marRight w:val="0"/>
          <w:marTop w:val="0"/>
          <w:marBottom w:val="0"/>
          <w:divBdr>
            <w:top w:val="none" w:sz="0" w:space="0" w:color="auto"/>
            <w:left w:val="none" w:sz="0" w:space="0" w:color="auto"/>
            <w:bottom w:val="none" w:sz="0" w:space="0" w:color="auto"/>
            <w:right w:val="none" w:sz="0" w:space="0" w:color="auto"/>
          </w:divBdr>
        </w:div>
      </w:divsChild>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b484e713d744928b475b4d2c962511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E27C-A3A9-4CC4-96C2-6D5691E4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2b484e713d744928b475b4d2c962511d</Template>
  <TotalTime>19</TotalTime>
  <Pages>3</Pages>
  <Words>1281</Words>
  <Characters>7308</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2022-01-27</Manager>
  <Company>Hewlett-Packard Company</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nuompinigių už Kretingos rajono savivaldybės ilgalaikio materialiojo ir trumpalaikio materialiojo turto nuomą skaičiavimo tvarkos aprašo patvirtinimo</dc:title>
  <dc:subject>T2-40</dc:subject>
  <dc:creator>KRETINGOS RAJONO SAVIVALDYBĖS TARYBA</dc:creator>
  <cp:lastModifiedBy>Rita Kasparavičiūtė</cp:lastModifiedBy>
  <cp:revision>2</cp:revision>
  <cp:lastPrinted>2022-01-10T08:45:00Z</cp:lastPrinted>
  <dcterms:created xsi:type="dcterms:W3CDTF">2023-05-30T08:26:00Z</dcterms:created>
  <dcterms:modified xsi:type="dcterms:W3CDTF">2023-05-30T08:26:00Z</dcterms:modified>
  <cp:category>SPRENDIMAS</cp:category>
</cp:coreProperties>
</file>