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3EE" w:rsidRPr="000F7494" w:rsidRDefault="003B13EE" w:rsidP="003B13EE">
      <w:pPr>
        <w:suppressAutoHyphens/>
        <w:spacing w:after="0" w:line="240" w:lineRule="auto"/>
        <w:ind w:left="5103"/>
        <w:jc w:val="both"/>
        <w:rPr>
          <w:rFonts w:ascii="Times New Roman" w:eastAsia="Times New Roman" w:hAnsi="Times New Roman" w:cs="Times New Roman"/>
          <w:caps/>
          <w:kern w:val="2"/>
          <w:sz w:val="24"/>
          <w:szCs w:val="24"/>
          <w:lang w:val="lt-LT" w:eastAsia="ar-SA"/>
        </w:rPr>
      </w:pPr>
      <w:r w:rsidRPr="000F7494">
        <w:rPr>
          <w:rFonts w:ascii="Times New Roman" w:eastAsia="Times New Roman" w:hAnsi="Times New Roman" w:cs="Times New Roman"/>
          <w:caps/>
          <w:kern w:val="2"/>
          <w:sz w:val="24"/>
          <w:szCs w:val="24"/>
          <w:lang w:val="lt-LT" w:eastAsia="ar-SA"/>
        </w:rPr>
        <w:t>PRITARTA</w:t>
      </w:r>
    </w:p>
    <w:p w:rsidR="003B13EE" w:rsidRPr="000F7494" w:rsidRDefault="003B13EE" w:rsidP="003B13EE">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Kretingos rajono savivaldybės tarybos</w:t>
      </w:r>
    </w:p>
    <w:p w:rsidR="003B13EE" w:rsidRPr="000F7494" w:rsidRDefault="003B13EE" w:rsidP="003B13EE">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20</w:t>
      </w:r>
      <w:r>
        <w:rPr>
          <w:rFonts w:ascii="Times New Roman" w:eastAsia="Calibri" w:hAnsi="Times New Roman" w:cs="Times New Roman"/>
          <w:sz w:val="24"/>
          <w:szCs w:val="24"/>
          <w:lang w:val="lt-LT" w:eastAsia="ar-SA"/>
        </w:rPr>
        <w:t>23</w:t>
      </w:r>
      <w:r w:rsidRPr="000F7494">
        <w:rPr>
          <w:rFonts w:ascii="Times New Roman" w:eastAsia="Calibri" w:hAnsi="Times New Roman" w:cs="Times New Roman"/>
          <w:sz w:val="24"/>
          <w:szCs w:val="24"/>
          <w:lang w:val="lt-LT" w:eastAsia="ar-SA"/>
        </w:rPr>
        <w:t xml:space="preserve"> m. </w:t>
      </w:r>
      <w:r>
        <w:rPr>
          <w:rFonts w:ascii="Times New Roman" w:eastAsia="Calibri" w:hAnsi="Times New Roman" w:cs="Times New Roman"/>
          <w:sz w:val="24"/>
          <w:szCs w:val="24"/>
          <w:lang w:val="lt-LT" w:eastAsia="ar-SA"/>
        </w:rPr>
        <w:t xml:space="preserve">kovo   </w:t>
      </w:r>
      <w:r w:rsidRPr="000F7494">
        <w:rPr>
          <w:rFonts w:ascii="Times New Roman" w:eastAsia="Calibri" w:hAnsi="Times New Roman" w:cs="Times New Roman"/>
          <w:sz w:val="24"/>
          <w:szCs w:val="24"/>
          <w:lang w:val="lt-LT" w:eastAsia="ar-SA"/>
        </w:rPr>
        <w:t xml:space="preserve"> d. sprendimu Nr. T2-</w:t>
      </w:r>
    </w:p>
    <w:p w:rsidR="003B13EE" w:rsidRDefault="003B13EE" w:rsidP="00BD65E6">
      <w:pPr>
        <w:spacing w:after="0"/>
        <w:jc w:val="center"/>
        <w:rPr>
          <w:rFonts w:ascii="Times New Roman" w:eastAsia="Times New Roman" w:hAnsi="Times New Roman" w:cs="Times New Roman"/>
          <w:b/>
          <w:sz w:val="24"/>
          <w:szCs w:val="24"/>
          <w:lang w:val="lt-LT" w:eastAsia="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KRETINGOS RAJONO SAVIVALDYBĖS KONTROLĖS IR AUDITO TARNYBOS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2022 METŲ VEIKLOS ATASKAITA</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I SKYRIUS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ĮŽANGINIS ŽODIS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Kretingos rajono savivaldybės Kontrolės ir audito tarnybos (toliau – Tarnyba) 2022 metų veiklos ataskaita parengta ir teikiama Kretingos rajono savivaldybės (toliau – Savivaldybė) tarybai (toliau – Taryba), vadovaujantis Lietuvos Respublikos vietos savivaldos įstatymu (toliau - Vietos savivaldos įstatymas), Tarybos veiklos reglamentu, Tarnybos nuostatais bei kitais teisės aktais.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Ataskaitoje teikiami duomenys apie Kretingos rajono savivaldybės Kontrolės ir audito tarnybos 2022 metų veiklą ir veiklos rezultatus.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Kretingos rajono savivaldybės Kontrolės ir audito tarnyba yra viešasis juridinis asmuo, įgyvendinantis Savivaldybės kontrolės ir audito funkcijas, prižiūrintis, ar teisėtai, efektyviai, ekonomiškai ir rezultatyviai valdomas ir naudojamas Savivaldybės turtas bei patikėjimo teise valdomas valstybės turtas, kaip vykdomas Savivaldybės biudžetas ir naudojami kiti piniginiai ištekliai.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Tarnyba, įgyvendindama Vietos savivaldos įstatyme nustatytas funkcijas ir suteiktus įgaliojimus, atlieka finansinius, atitikties ir veiklos auditus Savivaldybės administracijoje ir Savivaldybės administravimo subjektuose. Šių auditų tikslas – pareikšti nepriklausomą nuomonę dėl finansinių ir kitų ataskaitų tikrumo ir teisingumo. Be to, atliekant auditus, taip pat siekiama kuo anksčiau atskleisti galimus nukrypimus nuo galiojančio teisinio reglamentavimo bei priimtų standartų, imtis priemonių, kurios ateityje užkirstų kelią pažeidimams arba sumažintų jų atsiradimo galimybę.</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Tarnyba, be teisės aktais jai deleguotų išorės audito funkcijų, vykdo ir bendrąsias biudžetinės įstaigos funkcijas, tai – veiklos planavimo, įstaigos dokumentų rengimo, valdymo, tvarkymo bei registravimo, personalo valdymo ir darbo organizavimo, valstybės tarnautojų mokymo, Tarnybos parengtų dokumentų bylų archyvavimo ir kt. Kretingos rajono savivaldybės tarybos patvirtinti Tarnybos nuostatai yra pagrindinis dokumentas, kuriuo įstaiga vadovaujasi savo veikloje</w:t>
      </w:r>
      <w:r w:rsidRPr="00BD65E6">
        <w:rPr>
          <w:rFonts w:ascii="Times New Roman" w:eastAsia="Times New Roman" w:hAnsi="Times New Roman" w:cs="Times New Roman"/>
          <w:color w:val="000000"/>
          <w:sz w:val="24"/>
          <w:szCs w:val="20"/>
          <w:vertAlign w:val="superscript"/>
          <w:lang w:val="lt-LT"/>
        </w:rPr>
        <w:footnoteReference w:id="1"/>
      </w:r>
      <w:r w:rsidRPr="00BD65E6">
        <w:rPr>
          <w:rFonts w:ascii="Times New Roman" w:eastAsia="Times New Roman" w:hAnsi="Times New Roman" w:cs="Times New Roman"/>
          <w:color w:val="000000"/>
          <w:sz w:val="24"/>
          <w:szCs w:val="20"/>
          <w:lang w:val="lt-LT"/>
        </w:rPr>
        <w:t xml:space="preserve">.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principais.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Tarnyba, siekdama pasidalinti profesine patirtimi, gerąja audito praktika, bendradarbiauja išorės auditų klausimais su Valstybės kontrole. Bendradarbiavimo tikslas ir būtinumas grindžiamas tuo, kad Lietuvos Respublikos viešojo sektoriaus atskaitomybės įstatymo 16 straipsniu Tarnybai pavesta atlikti Savivaldybės viešojo sektoriaus subjektų metinių ataskaitų rinkinių auditą, o nacionalinio ataskaitų </w:t>
      </w:r>
      <w:r w:rsidRPr="00BD65E6">
        <w:rPr>
          <w:rFonts w:ascii="Times New Roman" w:eastAsia="Times New Roman" w:hAnsi="Times New Roman" w:cs="Times New Roman"/>
          <w:color w:val="000000"/>
          <w:sz w:val="24"/>
          <w:szCs w:val="20"/>
          <w:lang w:val="lt-LT"/>
        </w:rPr>
        <w:lastRenderedPageBreak/>
        <w:t>rinkinio, į kurį patenka ir Savivaldybės ataskaitų rinkiniai, auditą pavesta atlikti Valstybės kontrolei. Bendradarbiavimas grindžiamas 600-ojo Tarptautinio audito standarto nuostatomis, aptariant ir derinant auditų programas, keičiantis surinkta informacija, pasinaudojant vieni kitų darbo rezultatais.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Tarnyba bendradarbiauja dalyvaudama Savivaldybių kontrolierių asociacijos veikloje. Savivaldybių kontrolierių asociacija yra Europos Komisijos įsteigtos Europos regionų ir savivaldybių išorės audito institucijų organizacijos (EURORAI) asocijuota narė. Narystė EURORAI organizacijoje reprezentuoja Savivaldybių kontrolierių asociaciją kaip lygiateisį partnerį Europos viešojo sektoriaus regioninių auditorių bendruomenėje, patvirtina Lietuvos savivaldybių kontrolės ir audito tarnybų veiklos nepriklausomumą.</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2022 m. Tarnyboje dirbo 3 darbuotojai. Didelis dėmesys skiriamas Tarnybos darbuotojų kvalifikacijos kėlimui. Atsižvelgiant į Tarptautiniuose audito standartuose nustatytą auditą atliekančių darbuotojų pareigą – nuolat atnaujinti žinias ir tobulinti įgūdžius, per ataskaitinį laikotarpį Tarnybos darbuotojai išklausė 94 akademines valandas mokymų kvalifikacijai kelti, kvalifikacija taip pat buvo keliama kitomis kvalifikacijos tobulinimo formomis.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2022 metais Tarnyba dirbo pagal Savivaldybės kontrolieriaus 2021-11-17 įsakymu Nr. K5-3 patvirtintą Tarnybos 2022 metų veiklos planą, kuriam pritarė Savivaldybės tarybos Kontrolės komitetas. Planuojant 2022 metų Tarnybos veiklos apimtis, buvo atsižvelgta, kad būtų įgyvendintos visos įstatymais ir kitais teisės aktais pavestos funkcijos. Tarnybos 2022 metų  veiklos planas įvykdytas.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II SKYRIUS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VEIKLOS REZULTATAI</w:t>
      </w:r>
    </w:p>
    <w:p w:rsidR="00BD65E6" w:rsidRPr="00BD65E6" w:rsidRDefault="00BD65E6" w:rsidP="00BD65E6">
      <w:pPr>
        <w:spacing w:after="0"/>
        <w:jc w:val="center"/>
        <w:rPr>
          <w:rFonts w:ascii="Times New Roman" w:eastAsia="Times New Roman" w:hAnsi="Times New Roman" w:cs="Times New Roman"/>
          <w:sz w:val="24"/>
          <w:szCs w:val="24"/>
          <w:lang w:val="lt-LT" w:eastAsia="lt-LT"/>
        </w:rPr>
      </w:pPr>
    </w:p>
    <w:p w:rsidR="00BD65E6" w:rsidRPr="00BD65E6" w:rsidRDefault="00BD65E6" w:rsidP="00BD65E6">
      <w:pPr>
        <w:widowControl w:val="0"/>
        <w:spacing w:after="0"/>
        <w:ind w:firstLine="851"/>
        <w:jc w:val="both"/>
        <w:rPr>
          <w:rFonts w:ascii="Times New Roman" w:eastAsia="Times New Roman" w:hAnsi="Times New Roman" w:cs="Times New Roman"/>
          <w:i/>
          <w:color w:val="000000"/>
          <w:sz w:val="24"/>
          <w:szCs w:val="20"/>
          <w:u w:val="single"/>
          <w:lang w:val="lt-LT"/>
        </w:rPr>
      </w:pPr>
      <w:r w:rsidRPr="00BD65E6">
        <w:rPr>
          <w:rFonts w:ascii="Times New Roman" w:eastAsia="Times New Roman" w:hAnsi="Times New Roman" w:cs="Times New Roman"/>
          <w:i/>
          <w:color w:val="000000"/>
          <w:sz w:val="24"/>
          <w:szCs w:val="20"/>
          <w:u w:val="single"/>
          <w:lang w:val="lt-LT"/>
        </w:rPr>
        <w:t>Išvados, pateiktos Tarybai</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Vietos savivaldos įstatymas numato Tarnybos pareigą rengti ir teikti Tarybai jos sprendimams priimti reikalingas išvadas. 2022 metais Tarnyba parengė ir pateikė Tarybai išvadas: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dėl Savivaldybės galimybės imti 1 103,7 tūkst. Eur ilgalaikę banko paskolą investiciniams projektams finansuoti. Atsižvelgiant į tai, Taryba 2022 m. kovo 31 d. vykusio posėdžio metu priėmė sprendimą Nr. T2-84 „Dėl leidimo paimti ilgalaikę banko paskolą“;</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dėl Savivaldybės galimybės suteikti 78,7 tūkst. Eur garantiją už uždarosios akcinės bendrovės „Kretingos vandenys“ prisiimamus įsipareigojimus pagal paskolos sutartį. Atsižvelgiant į tai, Taryba 2022 m. spalio 27 d. vykusio posėdžio metu priėmė sprendimą Nr. T2-263 „Dėl garantijos suteikimo UAB „Kretingos vandenys“ ilgalaikei paskolai gauti“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 dėl Kretingos rajono savivaldybės 2021 metų konsoliduotųjų ataskaitų rinkinio.  Savivaldybės konsoliduotųjų ataskaitų rinkinį sudaro Savivaldybės konsoliduotųjų biudžeto vykdymo ataskaitų rinkinys ir Savivaldybės konsoliduotųjų finansinių ataskaitų rinkinys. Šios išvados duomenims pagrįsti atliktas auditas, surinkti įrodymai dėl teikiamos Tarybai ataskaitos teisingumo. Tarnyba audito išvadoje pateikė nuomones: besąlyginė nuomonė dėl Savivaldybės 2021 metų  konsoliduotųjų biudžeto vykdymo ataskaitų rinkinio duomenų; sąlyginė nuomonė dėl Savivaldybės 2021 metų konsoliduotųjų finansinių ataskaitų rinkinio duomenų. Tai, kas buvo nustatyta audito metu, buvo išdėstyta ataskaitoje, kuri aprobuota kartu su Kretingos rajono savivaldybės 2021 metų biudžeto vykdymo ataskaitų rinkiniu ir 2021 metų konsoliduotųjų finansinių ataskaitų rinkiniu Kretingos rajono savivaldybės tarybos 2022 m. rugpjūčio 25 d. posėdyje, priimti sprendimai: Nr. T2-207 „Dėl Kretingos rajono savivaldybės 2021 metų </w:t>
      </w:r>
      <w:r w:rsidRPr="00BD65E6">
        <w:rPr>
          <w:rFonts w:ascii="Times New Roman" w:eastAsia="Times New Roman" w:hAnsi="Times New Roman" w:cs="Times New Roman"/>
          <w:color w:val="000000"/>
          <w:sz w:val="24"/>
          <w:szCs w:val="20"/>
          <w:lang w:val="lt-LT"/>
        </w:rPr>
        <w:lastRenderedPageBreak/>
        <w:t>biudžeto vykdymo ataskaitų rinkinio tvirtinimo“ ir Nr. T2-208 „Dėl Kretingos rajono savivaldybės 2021 metų konsoliduotųjų finansinių ataskaitų rinkinio patvirtinimo“.</w:t>
      </w:r>
    </w:p>
    <w:p w:rsidR="00BD65E6" w:rsidRPr="00BD65E6" w:rsidRDefault="00BD65E6" w:rsidP="00BD65E6">
      <w:pPr>
        <w:tabs>
          <w:tab w:val="left" w:pos="9540"/>
        </w:tabs>
        <w:spacing w:after="0" w:line="240" w:lineRule="auto"/>
        <w:ind w:right="-82" w:firstLine="851"/>
        <w:jc w:val="both"/>
        <w:rPr>
          <w:rFonts w:ascii="Times New Roman" w:eastAsia="Times New Roman" w:hAnsi="Times New Roman" w:cs="Times New Roman"/>
          <w:sz w:val="24"/>
          <w:szCs w:val="24"/>
          <w:lang w:val="lt-LT" w:eastAsia="lt-LT"/>
        </w:rPr>
      </w:pPr>
    </w:p>
    <w:p w:rsidR="00BD65E6" w:rsidRPr="00BD65E6" w:rsidRDefault="00BD65E6" w:rsidP="00BD65E6">
      <w:pPr>
        <w:widowControl w:val="0"/>
        <w:spacing w:after="0"/>
        <w:ind w:firstLine="851"/>
        <w:jc w:val="both"/>
        <w:rPr>
          <w:rFonts w:ascii="Times New Roman" w:eastAsia="Times New Roman" w:hAnsi="Times New Roman" w:cs="Times New Roman"/>
          <w:i/>
          <w:color w:val="000000"/>
          <w:sz w:val="24"/>
          <w:szCs w:val="20"/>
          <w:u w:val="single"/>
          <w:lang w:val="lt-LT"/>
        </w:rPr>
      </w:pPr>
      <w:r w:rsidRPr="00BD65E6">
        <w:rPr>
          <w:rFonts w:ascii="Times New Roman" w:eastAsia="Times New Roman" w:hAnsi="Times New Roman" w:cs="Times New Roman"/>
          <w:i/>
          <w:color w:val="000000"/>
          <w:sz w:val="24"/>
          <w:szCs w:val="20"/>
          <w:u w:val="single"/>
          <w:lang w:val="lt-LT"/>
        </w:rPr>
        <w:t>Finansiniai (teisėtumo) auditai</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Finansinio audito tikslas – įvertinti audituojamo subjekto metinių (konsoliduotųjų) finansinių ir biudžeto vykdymo ataskaitų rinkinių duomenis ir pareikšti nepriklausomą nuomonę dėl finansinių ir kitų ataskaitų tikrumo ir teisingumo, taip pat įvertinti audituojamo subjekto turto valdymo, naudojimo ir disponavimo juo teisėtumą.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Atliekant Kretingos rajono savivaldybės 2021 metų konsoliduotųjų ataskaitų rinkinio finansinį ir teisėtumo auditą buvo analizuojami Savivaldybės viešojo sektoriaus subjektų grupės, kurią sudaro Savivaldybės administracija ir Savivaldybės kontroliuojami viešojo sektoriaus subjektai, biudžeto ir finansinių ataskaitų duomenys, kurie konsoliduojami rengiant 2021 metų Savivaldybės konsoliduotųjų ataskaitų rinkinį. 2021 metais į Savivaldybės konsoliduotųjų finansinių ataskaitų rinkinį buvo įtrauktos 38 komponentų finansinės ataskaitos (37 Savivaldybės kontroliuojamo viešojo sektoriaus subjekto (32 biudžetinių įstaigų ir 5 viešųjų įstaigų) ir 1 fondo (iždo) metinių finansinių ataskaitų rinkiniai), į Savivaldybės konsoliduotųjų biudžeto vykdymo ataskaitų rinkinį - 32 asignavimų valdytojų metinių biudžeto vykdymo ataskaitų rinkiniai. Audito metu buvo nustatyti neatitikimai teisės aktų reikalavimams bei teikti pastebėjimai dėl nebaigtos kelių ir gatvių, esančių Savivaldybės vietinės reikšmės kelių sąraše, teisinės registracijos, nebaigto kilnojamųjų kultūros vertybių (eksponatų) vertinimo,  neatliktos želdynų ir želdinių inventorizacijos Savivaldybės lygiu, Savivaldybės švietimo įstaigų bibliotekų fondų vertės teisingumo, Savivaldybės strateginio planavimo vidaus kontrolės, siekiant užtikrinti atsiskaitymą už pasiektus rezultatus, ir kt.</w:t>
      </w:r>
    </w:p>
    <w:p w:rsidR="00BD65E6" w:rsidRPr="00BD65E6" w:rsidRDefault="00BD65E6" w:rsidP="00BD65E6">
      <w:pPr>
        <w:tabs>
          <w:tab w:val="left" w:pos="9540"/>
        </w:tabs>
        <w:spacing w:after="0" w:line="240" w:lineRule="auto"/>
        <w:ind w:firstLine="851"/>
        <w:jc w:val="both"/>
        <w:rPr>
          <w:rFonts w:ascii="Times New Roman" w:eastAsia="Times New Roman" w:hAnsi="Times New Roman" w:cs="Times New Roman"/>
          <w:i/>
          <w:sz w:val="24"/>
          <w:szCs w:val="24"/>
          <w:u w:val="single"/>
          <w:lang w:val="lt-LT" w:eastAsia="ar-SA"/>
        </w:rPr>
      </w:pPr>
    </w:p>
    <w:p w:rsidR="00BD65E6" w:rsidRPr="00BD65E6" w:rsidRDefault="00BD65E6" w:rsidP="00BD65E6">
      <w:pPr>
        <w:widowControl w:val="0"/>
        <w:spacing w:after="0"/>
        <w:ind w:firstLine="851"/>
        <w:jc w:val="both"/>
        <w:rPr>
          <w:rFonts w:ascii="Times New Roman" w:eastAsia="Times New Roman" w:hAnsi="Times New Roman" w:cs="Times New Roman"/>
          <w:i/>
          <w:color w:val="000000"/>
          <w:sz w:val="24"/>
          <w:szCs w:val="20"/>
          <w:u w:val="single"/>
          <w:lang w:val="lt-LT"/>
        </w:rPr>
      </w:pPr>
      <w:r w:rsidRPr="00BD65E6">
        <w:rPr>
          <w:rFonts w:ascii="Times New Roman" w:eastAsia="Times New Roman" w:hAnsi="Times New Roman" w:cs="Times New Roman"/>
          <w:i/>
          <w:color w:val="000000"/>
          <w:sz w:val="24"/>
          <w:szCs w:val="20"/>
          <w:u w:val="single"/>
          <w:lang w:val="lt-LT"/>
        </w:rPr>
        <w:t xml:space="preserve">Veiklos, atitikties auditai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Veiklos auditai atliekami, siekiant įvertinti audituojamo subjekto veiklą ekonomiškumo, efektyvumo ir rezultatyvumo požiūriu. Atitikties audito metu vertinama audituojamo subjekto veiklos atitiktis teisės aktų ir (ar) kitiems reikalavimams.</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Calibri" w:hAnsi="Times New Roman" w:cs="Times New Roman"/>
          <w:sz w:val="24"/>
          <w:szCs w:val="24"/>
          <w:lang w:val="lt-LT"/>
        </w:rPr>
        <w:t xml:space="preserve">2022 m. atliktas </w:t>
      </w:r>
      <w:r w:rsidRPr="00BD65E6">
        <w:rPr>
          <w:rFonts w:ascii="Times New Roman" w:hAnsi="Times New Roman" w:cs="Times New Roman"/>
          <w:bCs/>
          <w:sz w:val="24"/>
          <w:szCs w:val="24"/>
          <w:lang w:val="lt-LT"/>
        </w:rPr>
        <w:t xml:space="preserve">Savivaldybės biudžeto asignavimų, skirtų piniginei socialinei paramai, perskirstymo ir panaudojimo atitikties vertinimo auditas. </w:t>
      </w:r>
      <w:r w:rsidRPr="00BD65E6">
        <w:rPr>
          <w:rFonts w:ascii="Times New Roman" w:eastAsia="Times New Roman" w:hAnsi="Times New Roman" w:cs="Times New Roman"/>
          <w:sz w:val="24"/>
          <w:szCs w:val="24"/>
          <w:lang w:val="lt-LT" w:eastAsia="lt-LT"/>
        </w:rPr>
        <w:t>Šio audito tikslas buvo įvertinti, ar Savivaldybės vidaus teisės aktai, reglamentuojantys piniginės socialinės paramos teikimą, atitinka teisės aktų reikalavimus, ar nepanaudotos Savivaldybės biudžeto lėšos piniginei socialinei paramai perskirstytos ir panaudotos teisės aktų nustatyta tvarka. Atlikus auditą, pateiktos rekomendacijos inicijuoti teisės aktų, reglamentuojančių piniginės socialinės paramos teikimo Savivaldybės gyventojams, pakeitimus, skirstant nepanaudotas Savivaldybės biudžeto lėšas, skirtas piniginei socialinei paramai, laikytis Lietuvos Respublikos piniginės socialinės paramos nepasiturintiems gyventojams įstatymo  nuostatų dėl prioritetinių socialinės apsaugos sričių finansavimo.</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Calibri" w:hAnsi="Times New Roman" w:cs="Times New Roman"/>
          <w:sz w:val="24"/>
          <w:szCs w:val="24"/>
          <w:lang w:val="lt-LT"/>
        </w:rPr>
        <w:t xml:space="preserve">2022 m. atliktas didelės apimties </w:t>
      </w:r>
      <w:r w:rsidRPr="00BD65E6">
        <w:rPr>
          <w:rFonts w:ascii="Times New Roman" w:hAnsi="Times New Roman" w:cs="Times New Roman"/>
          <w:bCs/>
          <w:sz w:val="24"/>
          <w:szCs w:val="24"/>
          <w:lang w:val="lt-LT"/>
        </w:rPr>
        <w:t>Savivaldybės švietimo įstaigų</w:t>
      </w:r>
      <w:r w:rsidRPr="00BD65E6">
        <w:rPr>
          <w:rFonts w:ascii="Times New Roman" w:hAnsi="Times New Roman" w:cs="Times New Roman"/>
          <w:bCs/>
          <w:sz w:val="24"/>
          <w:szCs w:val="24"/>
          <w:vertAlign w:val="superscript"/>
          <w:lang w:val="lt-LT"/>
        </w:rPr>
        <w:footnoteReference w:id="2"/>
      </w:r>
      <w:r w:rsidRPr="00BD65E6">
        <w:rPr>
          <w:rFonts w:ascii="Times New Roman" w:hAnsi="Times New Roman" w:cs="Times New Roman"/>
          <w:bCs/>
          <w:sz w:val="24"/>
          <w:szCs w:val="24"/>
          <w:lang w:val="lt-LT"/>
        </w:rPr>
        <w:t xml:space="preserve"> bibliotekų fondų apskaitos </w:t>
      </w:r>
      <w:r w:rsidRPr="00BD65E6">
        <w:rPr>
          <w:rFonts w:ascii="Times New Roman" w:hAnsi="Times New Roman" w:cs="Times New Roman"/>
          <w:bCs/>
          <w:sz w:val="24"/>
          <w:szCs w:val="24"/>
          <w:lang w:val="lt-LT"/>
        </w:rPr>
        <w:lastRenderedPageBreak/>
        <w:t xml:space="preserve">vertinimo atitikties auditas </w:t>
      </w:r>
      <w:r w:rsidRPr="00BD65E6">
        <w:rPr>
          <w:rFonts w:ascii="Times New Roman" w:eastAsia="Times New Roman" w:hAnsi="Times New Roman" w:cs="Times New Roman"/>
          <w:bCs/>
          <w:sz w:val="24"/>
          <w:szCs w:val="24"/>
          <w:lang w:val="lt-LT" w:eastAsia="lt-LT"/>
        </w:rPr>
        <w:t>parodė, kad</w:t>
      </w:r>
      <w:r w:rsidRPr="00BD65E6">
        <w:rPr>
          <w:rFonts w:ascii="Times New Roman" w:eastAsia="Times New Roman" w:hAnsi="Times New Roman" w:cs="Times New Roman"/>
          <w:b/>
          <w:bCs/>
          <w:sz w:val="24"/>
          <w:szCs w:val="24"/>
          <w:lang w:val="lt-LT" w:eastAsia="lt-LT"/>
        </w:rPr>
        <w:t xml:space="preserve"> </w:t>
      </w:r>
      <w:r w:rsidRPr="00BD65E6">
        <w:rPr>
          <w:rFonts w:ascii="Times New Roman" w:eastAsia="Times New Roman" w:hAnsi="Times New Roman" w:cs="Times New Roman"/>
          <w:sz w:val="24"/>
          <w:szCs w:val="24"/>
          <w:lang w:val="lt-LT" w:eastAsia="lt-LT"/>
        </w:rPr>
        <w:t xml:space="preserve">būtina stiprinti </w:t>
      </w:r>
      <w:r w:rsidRPr="00BD65E6">
        <w:rPr>
          <w:rFonts w:ascii="Times New Roman" w:hAnsi="Times New Roman" w:cs="Times New Roman"/>
          <w:sz w:val="24"/>
          <w:szCs w:val="24"/>
          <w:lang w:val="lt-LT"/>
        </w:rPr>
        <w:t xml:space="preserve">švietimo įstaigų bibliotekų koordinavimą, inicijuojant Savivaldybės administracijos </w:t>
      </w:r>
      <w:r w:rsidRPr="00BD65E6">
        <w:rPr>
          <w:rFonts w:ascii="Times New Roman" w:eastAsia="Times New Roman" w:hAnsi="Times New Roman" w:cs="Times New Roman"/>
          <w:color w:val="000000"/>
          <w:sz w:val="24"/>
          <w:szCs w:val="20"/>
          <w:lang w:val="lt-LT"/>
        </w:rPr>
        <w:t>Švietimo skyriaus nuostatų papildymą, numatant švietimo įstaigų bibliotekų koordinavimo funkciją, ir paskiriant už tai atsakingus asmenis, taip pat būtina skirti dėmesį vienai iš kontrolės priemonių – patikrinimams ir inventorizacijai, kad bibliotekų fondų apskaitos duomenys būtų pagrįsti fondų patikrinimų bei inventorizacijos duomenimis. Pastebėta, kad netolygiai paskirstomos lėšos bibliotekų fondų atnaujinimui (įsigijimui), taip pat ne visose švietimo įstaigų bibliotekose naudojamasi informacinėmis sistemomis.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Ataskaitiniu laikotarpiu buvo pradėtas Savivaldybės informacinių sistemų (IS) naudojimo veiklos auditą. Audito metu planuojama įvertinti Savivaldybės informacinių sistemų (IS) naudojimo efektyvumą. </w:t>
      </w:r>
    </w:p>
    <w:p w:rsidR="00BD65E6" w:rsidRPr="00BD65E6" w:rsidRDefault="00BD65E6" w:rsidP="00BD65E6">
      <w:pPr>
        <w:spacing w:after="0" w:line="240" w:lineRule="auto"/>
        <w:ind w:firstLine="851"/>
        <w:jc w:val="both"/>
        <w:rPr>
          <w:rFonts w:ascii="Times New Roman" w:eastAsia="Calibri" w:hAnsi="Times New Roman" w:cs="Times New Roman"/>
          <w:color w:val="000000"/>
          <w:sz w:val="24"/>
          <w:szCs w:val="24"/>
          <w:lang w:val="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III SKYRIUS</w:t>
      </w:r>
    </w:p>
    <w:p w:rsidR="00BD65E6" w:rsidRPr="00BD65E6" w:rsidRDefault="00BD65E6" w:rsidP="00BD65E6">
      <w:pPr>
        <w:spacing w:after="0"/>
        <w:jc w:val="center"/>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b/>
          <w:sz w:val="24"/>
          <w:szCs w:val="24"/>
          <w:lang w:val="lt-LT" w:eastAsia="lt-LT"/>
        </w:rPr>
        <w:t xml:space="preserve">VEIKLOS VEIKSMINGUMAS </w:t>
      </w:r>
    </w:p>
    <w:p w:rsidR="00BD65E6" w:rsidRPr="00BD65E6" w:rsidRDefault="00BD65E6" w:rsidP="00BD65E6">
      <w:pPr>
        <w:spacing w:after="0" w:line="240" w:lineRule="auto"/>
        <w:ind w:firstLine="851"/>
        <w:jc w:val="both"/>
        <w:rPr>
          <w:rFonts w:ascii="Times New Roman" w:eastAsia="Times New Roman" w:hAnsi="Times New Roman" w:cs="Times New Roman"/>
          <w:bCs/>
          <w:sz w:val="24"/>
          <w:szCs w:val="24"/>
          <w:lang w:val="lt-LT" w:eastAsia="ar-SA"/>
        </w:rPr>
      </w:pP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 xml:space="preserve">Tarnyba Savivaldybės administracijai ir kitiems asignavimų valdytojams, siekiant, kad būtų ištaisyti ir nepasikartotų nustatyti trūkumai, teikė rekomendacijas, užtikrinančias Savivaldybės turto ir lėšų efektyvų, taupų ir rezultatyvų panaudojimą, vidaus kontrolės sistemos veikimą. Dauguma rekomendacijų yra įvykdytos ir / ar priimtos priemonės dėl jų įvykdymo: eliminavus rekomendacijas, kurių įgyvendinimo terminas dar nepasibaigęs, nustatyta, kad įgyvendinta arba įgyvendinama 89 proc. Tarnybos teiktų rekomendacijų. Rekomendacijų įgyvendinimas ypač svarbus siekiant pažangos viešajame sektoriuje, taip pat parodo audituojamo subjekto ir srities, kurioje jis veikia, siekį efektyvinti veiklą, įgyvendinant rekomendacijas prisidėti prie teigiamų pokyčių savo veiklos srityje. </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Siekdama užtikrinti Tarnybos veiklos veiksmingumą, stebėti ir stiprinti audito poveikį, atskaitingumą už vykdomos veiklos rezultatus, įstaiga nuolat vykdo audito rekomendacijų įgyvendinimo stebėseną. Atlikus rekomendacijų įgyvendinimo stebėseną tenka konstatuoti, kad įstaigoms dar trūksta atsakomybės įgyvendinti rekomendacijas laiku arba tinkamai suplanuoti rekomendacijų įgyvendinimo terminus. Nors audituoti subjektai imasi veiksmų rekomendacijoms įgyvendinti ir 2022 metais rekomendacijų įgyvendinimas, palyginus su 2021 metais, pagerėjo,  tačiau iš neįgyvendintų rekomendacijų net 50 proc. rekomendacijų vėluojama įgyvendinti.</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Tarnyba, vykdydama jos nuostatuose nustatytus uždavinius, ir toliau sieks, kad audituoti  viešojo sektoriaus subjektai įgyvendintų Tarnybos teikiamas rekomendacijas, dar efektyviau šalintų veiklos trūkumus. Tarnyba visada siekia su audituojamų įstaigų vadovais ir darbuotojais abipusio suinteresuotumo bei pasitikėjimu pagrįsto bendradarbiavimo, kad būtų užtikrintas atlikto audito ir kitų užduočių nustatytų tikslų pasiekimas bei audito rekomendacijų įgyvendinimas laiku.</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IV SKYRIUS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BAIGIAMOSIOS NUOSTATOS</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 xml:space="preserve">Įgyvendindama priskirtas funkcijas, Tarnyba ir toliau ketina dėti visas pastangas, kad auditai būtų atlikti kokybiškai, jog visos išvados būtų pagrįstos tinkamais ir pakankamais įrodymais, o auditų rezultatai ir teiktos rekomendacijos būtų reikšmingi ir padėtų užtikrinti Savivaldybės lėšų ir turto ekonomišką bei efektyvų valdymą. </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 xml:space="preserve">Tarnybos atlikto darbo rezultatai (ataskaitos ir išvados) pateikti Kretingos rajono savivaldybės </w:t>
      </w:r>
      <w:r w:rsidRPr="00BD65E6">
        <w:rPr>
          <w:rFonts w:ascii="Times New Roman" w:eastAsia="Times New Roman" w:hAnsi="Times New Roman" w:cs="Times New Roman"/>
          <w:sz w:val="24"/>
          <w:szCs w:val="24"/>
          <w:lang w:val="lt-LT" w:eastAsia="lt-LT"/>
        </w:rPr>
        <w:lastRenderedPageBreak/>
        <w:t xml:space="preserve">merui, Savivaldybės tarybos Kontrolės komitetui, Savivaldybės administracijai, audituotiems subjektams. Informacija skelbiama Savivaldybės interneto puslapyje </w:t>
      </w:r>
      <w:hyperlink r:id="rId6" w:history="1">
        <w:r w:rsidRPr="00BD65E6">
          <w:rPr>
            <w:rFonts w:ascii="Times New Roman" w:eastAsia="Times New Roman" w:hAnsi="Times New Roman" w:cs="Times New Roman"/>
            <w:sz w:val="24"/>
            <w:szCs w:val="24"/>
            <w:lang w:val="lt-LT" w:eastAsia="lt-LT"/>
          </w:rPr>
          <w:t>www.kretinga.lt</w:t>
        </w:r>
      </w:hyperlink>
    </w:p>
    <w:p w:rsidR="00BD65E6" w:rsidRPr="00BD65E6" w:rsidRDefault="00BD65E6" w:rsidP="00BD65E6">
      <w:pPr>
        <w:spacing w:after="0" w:line="240" w:lineRule="auto"/>
        <w:jc w:val="center"/>
      </w:pPr>
      <w:r w:rsidRPr="00BD65E6">
        <w:rPr>
          <w:rFonts w:ascii="Times New Roman" w:eastAsia="Times New Roman" w:hAnsi="Times New Roman" w:cs="Times New Roman"/>
          <w:sz w:val="24"/>
          <w:szCs w:val="24"/>
          <w:u w:val="single"/>
          <w:lang w:val="lt-LT" w:eastAsia="ar-SA"/>
        </w:rPr>
        <w:t>_____________________</w:t>
      </w:r>
    </w:p>
    <w:p w:rsidR="00026BC7" w:rsidRDefault="00026BC7"/>
    <w:sectPr w:rsidR="00026BC7" w:rsidSect="003B55D2">
      <w:headerReference w:type="default" r:id="rId7"/>
      <w:pgSz w:w="12240" w:h="15840"/>
      <w:pgMar w:top="1134"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5E6" w:rsidRDefault="00BD65E6" w:rsidP="00BD65E6">
      <w:pPr>
        <w:spacing w:after="0" w:line="240" w:lineRule="auto"/>
      </w:pPr>
      <w:r>
        <w:separator/>
      </w:r>
    </w:p>
  </w:endnote>
  <w:endnote w:type="continuationSeparator" w:id="0">
    <w:p w:rsidR="00BD65E6" w:rsidRDefault="00BD65E6" w:rsidP="00BD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5E6" w:rsidRDefault="00BD65E6" w:rsidP="00BD65E6">
      <w:pPr>
        <w:spacing w:after="0" w:line="240" w:lineRule="auto"/>
      </w:pPr>
      <w:r>
        <w:separator/>
      </w:r>
    </w:p>
  </w:footnote>
  <w:footnote w:type="continuationSeparator" w:id="0">
    <w:p w:rsidR="00BD65E6" w:rsidRDefault="00BD65E6" w:rsidP="00BD65E6">
      <w:pPr>
        <w:spacing w:after="0" w:line="240" w:lineRule="auto"/>
      </w:pPr>
      <w:r>
        <w:continuationSeparator/>
      </w:r>
    </w:p>
  </w:footnote>
  <w:footnote w:id="1">
    <w:p w:rsidR="00BD65E6" w:rsidRPr="0079056D" w:rsidRDefault="00BD65E6" w:rsidP="00BD65E6">
      <w:pPr>
        <w:pStyle w:val="Puslapioinaostekstas"/>
        <w:jc w:val="both"/>
        <w:rPr>
          <w:lang w:val="lt-LT"/>
        </w:rPr>
      </w:pPr>
      <w:r w:rsidRPr="0079056D">
        <w:rPr>
          <w:rStyle w:val="Puslapioinaosnuoroda"/>
        </w:rPr>
        <w:footnoteRef/>
      </w:r>
      <w:r w:rsidRPr="0079056D">
        <w:t xml:space="preserve"> </w:t>
      </w:r>
      <w:r w:rsidRPr="0079056D">
        <w:rPr>
          <w:rFonts w:ascii="Times New Roman" w:eastAsia="Times New Roman" w:hAnsi="Times New Roman" w:cs="Times New Roman"/>
          <w:color w:val="000000"/>
          <w:lang w:val="lt-LT"/>
        </w:rPr>
        <w:t>Tarnybos nuostatai patvirtinti Kretingos rajono savivaldybės tarybos 2021 m. gegužės 27 d. sprendimu Nr. T2-183 „Dėl Kretingos rajono savivaldybės tarybos 2015 m. birželio 25 d. sprendimo Nr. T2-211 „Dėl Kretingos rajono savivaldybės kontrolės ir audito tarnybos nuostatų patvirtinimo“ pakeitimo“</w:t>
      </w:r>
      <w:r>
        <w:rPr>
          <w:rFonts w:ascii="Times New Roman" w:eastAsia="Times New Roman" w:hAnsi="Times New Roman" w:cs="Times New Roman"/>
          <w:color w:val="000000"/>
          <w:lang w:val="lt-LT"/>
        </w:rPr>
        <w:t>.</w:t>
      </w:r>
    </w:p>
  </w:footnote>
  <w:footnote w:id="2">
    <w:p w:rsidR="00BD65E6" w:rsidRPr="003B55D2" w:rsidRDefault="00BD65E6" w:rsidP="00BD65E6">
      <w:pPr>
        <w:pStyle w:val="Puslapioinaostekstas"/>
        <w:jc w:val="both"/>
        <w:rPr>
          <w:rFonts w:ascii="Times New Roman" w:hAnsi="Times New Roman" w:cs="Times New Roman"/>
          <w:lang w:val="lt-LT"/>
        </w:rPr>
      </w:pPr>
      <w:r w:rsidRPr="003B55D2">
        <w:rPr>
          <w:rStyle w:val="Puslapioinaosnuoroda"/>
          <w:rFonts w:ascii="Times New Roman" w:hAnsi="Times New Roman" w:cs="Times New Roman"/>
          <w:lang w:val="lt-LT"/>
        </w:rPr>
        <w:footnoteRef/>
      </w:r>
      <w:r w:rsidRPr="003B55D2">
        <w:rPr>
          <w:rFonts w:ascii="Times New Roman" w:hAnsi="Times New Roman" w:cs="Times New Roman"/>
          <w:lang w:val="lt-LT"/>
        </w:rPr>
        <w:t xml:space="preserve"> Kretingos Jurgio Pabrėžos universitetinė gimnazija, Kretingos rajono Salantų gimnazija, Kretingos rajono Darbėnų gimnazija, Kretingos r. Vydmantų gimnazija, Kretingos Marijono Daujoto</w:t>
      </w:r>
      <w:r w:rsidRPr="003B55D2">
        <w:rPr>
          <w:rFonts w:ascii="Times New Roman" w:hAnsi="Times New Roman" w:cs="Times New Roman"/>
          <w:color w:val="00B050"/>
          <w:lang w:val="lt-LT"/>
        </w:rPr>
        <w:t xml:space="preserve"> </w:t>
      </w:r>
      <w:r w:rsidRPr="003B55D2">
        <w:rPr>
          <w:rFonts w:ascii="Times New Roman" w:hAnsi="Times New Roman" w:cs="Times New Roman"/>
          <w:lang w:val="lt-LT"/>
        </w:rPr>
        <w:t xml:space="preserve">progimnazija, Kretingos Simono Daukanto progimnazija, Kretingos rajono Kartenos mokykla–daugiafunkcis centras, Kretingos rajono Baublių mokykla-daugiafunkcis centras, Kretingos rajono Grūšlaukės mokykla-daugiafunkcis centras, Kretingos r. Kūlupėnų Motiejaus Valančiaus </w:t>
      </w:r>
      <w:r w:rsidRPr="003B55D2">
        <w:rPr>
          <w:rFonts w:ascii="Times New Roman" w:hAnsi="Times New Roman" w:cs="Times New Roman"/>
          <w:color w:val="000000" w:themeColor="text1"/>
          <w:lang w:val="lt-LT"/>
        </w:rPr>
        <w:t xml:space="preserve">pagrindinė mokykla, </w:t>
      </w:r>
      <w:r w:rsidRPr="003B55D2">
        <w:rPr>
          <w:rFonts w:ascii="Times New Roman" w:hAnsi="Times New Roman" w:cs="Times New Roman"/>
          <w:lang w:val="lt-LT"/>
        </w:rPr>
        <w:t>Kretingos rajono Jokūbavo Aleksandro Stulginskio mokykla-daugiafunkcis centras, Kretingos Marijos Tiškevičiūtės mokykla, Kretingos rajono Kurmaičių pradinė mokykla, Kretingos mokykla-darželis „Žibutė“, Kretingos meno mokykla.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783382"/>
      <w:docPartObj>
        <w:docPartGallery w:val="Page Numbers (Top of Page)"/>
        <w:docPartUnique/>
      </w:docPartObj>
    </w:sdtPr>
    <w:sdtEndPr>
      <w:rPr>
        <w:rFonts w:ascii="Times New Roman" w:hAnsi="Times New Roman"/>
        <w:sz w:val="24"/>
        <w:szCs w:val="24"/>
      </w:rPr>
    </w:sdtEndPr>
    <w:sdtContent>
      <w:p w:rsidR="00EB249F" w:rsidRPr="00A60E42" w:rsidRDefault="003B13EE">
        <w:pPr>
          <w:pStyle w:val="Antrats"/>
          <w:jc w:val="center"/>
          <w:rPr>
            <w:rFonts w:ascii="Times New Roman" w:hAnsi="Times New Roman"/>
            <w:sz w:val="24"/>
            <w:szCs w:val="24"/>
          </w:rPr>
        </w:pPr>
        <w:r w:rsidRPr="00A60E42">
          <w:rPr>
            <w:rFonts w:ascii="Times New Roman" w:hAnsi="Times New Roman"/>
            <w:sz w:val="24"/>
            <w:szCs w:val="24"/>
          </w:rPr>
          <w:fldChar w:fldCharType="begin"/>
        </w:r>
        <w:r w:rsidRPr="00A60E42">
          <w:rPr>
            <w:rFonts w:ascii="Times New Roman" w:hAnsi="Times New Roman"/>
            <w:sz w:val="24"/>
            <w:szCs w:val="24"/>
          </w:rPr>
          <w:instrText>PAGE   \* MERGEFORMAT</w:instrText>
        </w:r>
        <w:r w:rsidRPr="00A60E42">
          <w:rPr>
            <w:rFonts w:ascii="Times New Roman" w:hAnsi="Times New Roman"/>
            <w:sz w:val="24"/>
            <w:szCs w:val="24"/>
          </w:rPr>
          <w:fldChar w:fldCharType="separate"/>
        </w:r>
        <w:r w:rsidRPr="003B13EE">
          <w:rPr>
            <w:rFonts w:ascii="Times New Roman" w:hAnsi="Times New Roman"/>
            <w:noProof/>
            <w:sz w:val="24"/>
            <w:szCs w:val="24"/>
            <w:lang w:val="lt-LT"/>
          </w:rPr>
          <w:t>5</w:t>
        </w:r>
        <w:r w:rsidRPr="00A60E42">
          <w:rPr>
            <w:rFonts w:ascii="Times New Roman" w:hAnsi="Times New Roman"/>
            <w:sz w:val="24"/>
            <w:szCs w:val="24"/>
          </w:rPr>
          <w:fldChar w:fldCharType="end"/>
        </w:r>
      </w:p>
    </w:sdtContent>
  </w:sdt>
  <w:p w:rsidR="00EB249F" w:rsidRDefault="004640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E6"/>
    <w:rsid w:val="00026BC7"/>
    <w:rsid w:val="003B13EE"/>
    <w:rsid w:val="004640CC"/>
    <w:rsid w:val="00BD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65549-6544-45AA-81F1-92F49B88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D65E6"/>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BD65E6"/>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BD65E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D65E6"/>
    <w:rPr>
      <w:sz w:val="20"/>
      <w:szCs w:val="20"/>
    </w:rPr>
  </w:style>
  <w:style w:type="character" w:styleId="Puslapioinaosnuoroda">
    <w:name w:val="footnote reference"/>
    <w:basedOn w:val="Numatytasispastraiposriftas"/>
    <w:uiPriority w:val="99"/>
    <w:semiHidden/>
    <w:unhideWhenUsed/>
    <w:rsid w:val="00BD65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et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8297</Words>
  <Characters>4730</Characters>
  <Application>Microsoft Office Word</Application>
  <DocSecurity>0</DocSecurity>
  <Lines>39</Lines>
  <Paragraphs>26</Paragraphs>
  <ScaleCrop>false</ScaleCrop>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Reda Pilelienė</cp:lastModifiedBy>
  <cp:revision>2</cp:revision>
  <dcterms:created xsi:type="dcterms:W3CDTF">2023-03-17T13:43:00Z</dcterms:created>
  <dcterms:modified xsi:type="dcterms:W3CDTF">2023-03-17T13:43:00Z</dcterms:modified>
</cp:coreProperties>
</file>