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13E34" w:rsidRPr="006C778D" w14:paraId="2FAF8063" w14:textId="77777777" w:rsidTr="004606BD">
        <w:tc>
          <w:tcPr>
            <w:tcW w:w="4961" w:type="dxa"/>
            <w:hideMark/>
          </w:tcPr>
          <w:p w14:paraId="1E7CAAC1" w14:textId="189CF990" w:rsidR="00513E34" w:rsidRPr="006C778D" w:rsidRDefault="00513E34" w:rsidP="004606BD">
            <w:pPr>
              <w:tabs>
                <w:tab w:val="left" w:pos="5070"/>
                <w:tab w:val="left" w:pos="5366"/>
                <w:tab w:val="left" w:pos="6771"/>
                <w:tab w:val="left" w:pos="7363"/>
              </w:tabs>
              <w:jc w:val="both"/>
              <w:rPr>
                <w:lang w:eastAsia="en-US"/>
              </w:rPr>
            </w:pPr>
            <w:r w:rsidRPr="006C778D">
              <w:rPr>
                <w:lang w:eastAsia="en-US"/>
              </w:rPr>
              <w:t>PATVIRTINTA</w:t>
            </w:r>
          </w:p>
        </w:tc>
      </w:tr>
      <w:tr w:rsidR="00513E34" w:rsidRPr="006C778D" w14:paraId="0F49A880" w14:textId="77777777" w:rsidTr="004606BD">
        <w:tc>
          <w:tcPr>
            <w:tcW w:w="4961" w:type="dxa"/>
            <w:hideMark/>
          </w:tcPr>
          <w:p w14:paraId="7ADD1A5F" w14:textId="7BD4C3C1" w:rsidR="00513E34" w:rsidRPr="006C778D" w:rsidRDefault="00513E34" w:rsidP="004606BD">
            <w:pPr>
              <w:rPr>
                <w:lang w:eastAsia="en-US"/>
              </w:rPr>
            </w:pPr>
            <w:r w:rsidRPr="006C778D">
              <w:rPr>
                <w:lang w:eastAsia="en-US"/>
              </w:rPr>
              <w:t>K</w:t>
            </w:r>
            <w:r w:rsidR="00B96F22">
              <w:rPr>
                <w:lang w:eastAsia="en-US"/>
              </w:rPr>
              <w:t>retingos rajono</w:t>
            </w:r>
            <w:r w:rsidRPr="006C778D">
              <w:rPr>
                <w:lang w:eastAsia="en-US"/>
              </w:rPr>
              <w:t xml:space="preserve"> savivaldybės </w:t>
            </w:r>
            <w:r>
              <w:rPr>
                <w:lang w:eastAsia="en-US"/>
              </w:rPr>
              <w:t>mero</w:t>
            </w:r>
          </w:p>
        </w:tc>
      </w:tr>
      <w:tr w:rsidR="00513E34" w:rsidRPr="006C778D" w14:paraId="696080A1" w14:textId="77777777" w:rsidTr="004606BD">
        <w:tc>
          <w:tcPr>
            <w:tcW w:w="4961" w:type="dxa"/>
            <w:hideMark/>
          </w:tcPr>
          <w:p w14:paraId="17D1DEE4" w14:textId="33D6D379" w:rsidR="00513E34" w:rsidRPr="006C778D" w:rsidRDefault="00513E34" w:rsidP="004606BD">
            <w:pPr>
              <w:tabs>
                <w:tab w:val="left" w:pos="5070"/>
                <w:tab w:val="left" w:pos="5366"/>
                <w:tab w:val="left" w:pos="6771"/>
                <w:tab w:val="left" w:pos="7363"/>
              </w:tabs>
              <w:rPr>
                <w:lang w:eastAsia="en-US"/>
              </w:rPr>
            </w:pPr>
            <w:r w:rsidRPr="006C778D">
              <w:rPr>
                <w:lang w:eastAsia="en-US"/>
              </w:rPr>
              <w:t>202</w:t>
            </w:r>
            <w:r w:rsidR="00B81434">
              <w:rPr>
                <w:lang w:eastAsia="en-US"/>
              </w:rPr>
              <w:t>5</w:t>
            </w:r>
            <w:r w:rsidRPr="006C778D">
              <w:rPr>
                <w:lang w:eastAsia="en-US"/>
              </w:rPr>
              <w:t xml:space="preserve"> m. </w:t>
            </w:r>
            <w:r w:rsidR="00291445">
              <w:rPr>
                <w:lang w:eastAsia="en-US"/>
              </w:rPr>
              <w:t>lapkričio</w:t>
            </w:r>
            <w:r w:rsidR="00B81434">
              <w:rPr>
                <w:lang w:eastAsia="en-US"/>
              </w:rPr>
              <w:t xml:space="preserve">   </w:t>
            </w:r>
            <w:r w:rsidR="00B96F22">
              <w:rPr>
                <w:lang w:eastAsia="en-US"/>
              </w:rPr>
              <w:t xml:space="preserve">  </w:t>
            </w:r>
            <w:r w:rsidR="004D4F9A">
              <w:rPr>
                <w:lang w:eastAsia="en-US"/>
              </w:rPr>
              <w:t xml:space="preserve"> </w:t>
            </w:r>
            <w:r w:rsidRPr="006C778D">
              <w:rPr>
                <w:lang w:eastAsia="en-US"/>
              </w:rPr>
              <w:t xml:space="preserve">d. </w:t>
            </w:r>
            <w:r>
              <w:rPr>
                <w:lang w:eastAsia="en-US"/>
              </w:rPr>
              <w:t>potvarkiu</w:t>
            </w:r>
            <w:r w:rsidRPr="006C778D">
              <w:rPr>
                <w:lang w:eastAsia="en-US"/>
              </w:rPr>
              <w:t xml:space="preserve"> Nr.</w:t>
            </w:r>
            <w:r w:rsidR="00B96F22">
              <w:rPr>
                <w:lang w:eastAsia="en-US"/>
              </w:rPr>
              <w:t xml:space="preserve"> V3-</w:t>
            </w:r>
          </w:p>
        </w:tc>
      </w:tr>
    </w:tbl>
    <w:p w14:paraId="7609D3A8" w14:textId="77777777" w:rsidR="00193F87" w:rsidRDefault="00193F87" w:rsidP="0006079E">
      <w:pPr>
        <w:jc w:val="center"/>
        <w:rPr>
          <w:b/>
        </w:rPr>
      </w:pPr>
    </w:p>
    <w:p w14:paraId="7E217BC9" w14:textId="14C9281C" w:rsidR="00376CFE" w:rsidRDefault="00ED362C" w:rsidP="0006079E">
      <w:pPr>
        <w:jc w:val="center"/>
        <w:rPr>
          <w:b/>
        </w:rPr>
      </w:pPr>
      <w:r>
        <w:rPr>
          <w:b/>
        </w:rPr>
        <w:t>LŪKESČIŲ RAŠTAS</w:t>
      </w:r>
    </w:p>
    <w:p w14:paraId="6596DCC2" w14:textId="203118A7" w:rsidR="00ED362C" w:rsidRDefault="00B81434" w:rsidP="0006079E">
      <w:pPr>
        <w:jc w:val="center"/>
      </w:pPr>
      <w:r>
        <w:rPr>
          <w:b/>
        </w:rPr>
        <w:t xml:space="preserve">UŽDARAJAI AKCINEI BENDROVEI </w:t>
      </w:r>
      <w:r w:rsidR="00C300B3">
        <w:rPr>
          <w:b/>
        </w:rPr>
        <w:t>„</w:t>
      </w:r>
      <w:r w:rsidR="004E0535">
        <w:rPr>
          <w:b/>
        </w:rPr>
        <w:t>K</w:t>
      </w:r>
      <w:r w:rsidR="00B96F22">
        <w:rPr>
          <w:b/>
        </w:rPr>
        <w:t xml:space="preserve">RETINGOS </w:t>
      </w:r>
      <w:r w:rsidR="00C300B3">
        <w:rPr>
          <w:b/>
        </w:rPr>
        <w:t>VANDENYS</w:t>
      </w:r>
      <w:r w:rsidR="00C300B3">
        <w:t>“</w:t>
      </w:r>
    </w:p>
    <w:p w14:paraId="679FD95D" w14:textId="77777777" w:rsidR="00A87420" w:rsidRDefault="00A87420" w:rsidP="0006079E">
      <w:pPr>
        <w:jc w:val="center"/>
      </w:pPr>
    </w:p>
    <w:p w14:paraId="4B96094E" w14:textId="069B8F75" w:rsidR="00B77275" w:rsidRDefault="00B77275" w:rsidP="00B77275">
      <w:pPr>
        <w:suppressAutoHyphens/>
        <w:ind w:firstLine="851"/>
        <w:jc w:val="both"/>
        <w:rPr>
          <w:bCs/>
          <w:lang w:eastAsia="ar-SA"/>
        </w:rPr>
      </w:pPr>
      <w:r>
        <w:rPr>
          <w:bCs/>
          <w:lang w:eastAsia="ar-SA"/>
        </w:rPr>
        <w:t xml:space="preserve">Vadovaudamasi </w:t>
      </w:r>
      <w:r w:rsidRPr="00B77275">
        <w:rPr>
          <w:bCs/>
          <w:lang w:eastAsia="ar-SA"/>
        </w:rPr>
        <w:t>Savivaldybių turtinių ir neturtinių teisių įgyvendinimo savivaldybių valdomose įmonėse ir savivaldybių valdomų įmonių veiklos skaidrumo užtikrinimo tvarkos aprašo</w:t>
      </w:r>
      <w:r>
        <w:rPr>
          <w:bCs/>
          <w:lang w:eastAsia="ar-SA"/>
        </w:rPr>
        <w:t xml:space="preserve">, patvirtinto </w:t>
      </w:r>
      <w:r w:rsidRPr="00BF1C23">
        <w:rPr>
          <w:bCs/>
          <w:lang w:eastAsia="ar-SA"/>
        </w:rPr>
        <w:t>Lietuvos Respublikos Vyriausybės 2007 m. birželio 6 d. nutarim</w:t>
      </w:r>
      <w:r>
        <w:rPr>
          <w:bCs/>
          <w:lang w:eastAsia="ar-SA"/>
        </w:rPr>
        <w:t>u</w:t>
      </w:r>
      <w:r w:rsidRPr="00BF1C23">
        <w:rPr>
          <w:bCs/>
          <w:lang w:eastAsia="ar-SA"/>
        </w:rPr>
        <w:t xml:space="preserve"> Nr. 567 „Dėl </w:t>
      </w:r>
      <w:r w:rsidRPr="00B77275">
        <w:rPr>
          <w:bCs/>
          <w:lang w:eastAsia="ar-SA"/>
        </w:rPr>
        <w:t>Savivaldybių turtinių ir neturtinių teisių įgyvendinimo savivaldybių valdomose įmonėse ir savivaldybių valdomų įmonių veiklos skaidrumo užtikrinimo tvarkos aprašo</w:t>
      </w:r>
      <w:r w:rsidRPr="00BF1C23">
        <w:rPr>
          <w:bCs/>
          <w:lang w:eastAsia="ar-SA"/>
        </w:rPr>
        <w:t xml:space="preserve"> patvirtinimo“</w:t>
      </w:r>
      <w:r>
        <w:rPr>
          <w:bCs/>
          <w:lang w:eastAsia="ar-SA"/>
        </w:rPr>
        <w:t>,</w:t>
      </w:r>
      <w:r w:rsidRPr="00BF1C23">
        <w:rPr>
          <w:bCs/>
          <w:lang w:eastAsia="ar-SA"/>
        </w:rPr>
        <w:t xml:space="preserve"> </w:t>
      </w:r>
      <w:r>
        <w:rPr>
          <w:bCs/>
          <w:lang w:eastAsia="ar-SA"/>
        </w:rPr>
        <w:t xml:space="preserve">8.1 papunkčiu, </w:t>
      </w:r>
      <w:r w:rsidR="0067219F">
        <w:rPr>
          <w:bCs/>
          <w:lang w:eastAsia="ar-SA"/>
        </w:rPr>
        <w:t xml:space="preserve">vienintelis </w:t>
      </w:r>
      <w:r w:rsidR="00FB7548">
        <w:rPr>
          <w:bCs/>
          <w:lang w:eastAsia="ar-SA"/>
        </w:rPr>
        <w:t xml:space="preserve">akcininkas </w:t>
      </w:r>
      <w:r w:rsidR="001459C2">
        <w:rPr>
          <w:bCs/>
          <w:lang w:eastAsia="ar-SA"/>
        </w:rPr>
        <w:t>–</w:t>
      </w:r>
      <w:r w:rsidR="00FB7548">
        <w:rPr>
          <w:bCs/>
          <w:lang w:eastAsia="ar-SA"/>
        </w:rPr>
        <w:t xml:space="preserve"> </w:t>
      </w:r>
      <w:r>
        <w:rPr>
          <w:bCs/>
          <w:lang w:eastAsia="ar-SA"/>
        </w:rPr>
        <w:t>Kretingos rajono savivaldybė</w:t>
      </w:r>
      <w:r w:rsidR="00BE1AFE">
        <w:rPr>
          <w:bCs/>
          <w:lang w:eastAsia="ar-SA"/>
        </w:rPr>
        <w:t>,</w:t>
      </w:r>
      <w:r w:rsidR="00C300B3">
        <w:rPr>
          <w:bCs/>
          <w:lang w:eastAsia="ar-SA"/>
        </w:rPr>
        <w:t xml:space="preserve"> </w:t>
      </w:r>
      <w:r>
        <w:rPr>
          <w:bCs/>
          <w:lang w:eastAsia="ar-SA"/>
        </w:rPr>
        <w:t xml:space="preserve">teikia </w:t>
      </w:r>
      <w:r w:rsidR="00291445">
        <w:rPr>
          <w:bCs/>
          <w:lang w:eastAsia="ar-SA"/>
        </w:rPr>
        <w:t>uždarajai akcinei bendrovei</w:t>
      </w:r>
      <w:r w:rsidR="00B81434">
        <w:rPr>
          <w:bCs/>
          <w:lang w:eastAsia="ar-SA"/>
        </w:rPr>
        <w:t xml:space="preserve"> </w:t>
      </w:r>
      <w:r w:rsidR="00C300B3">
        <w:rPr>
          <w:bCs/>
          <w:lang w:eastAsia="ar-SA"/>
        </w:rPr>
        <w:t>„</w:t>
      </w:r>
      <w:r>
        <w:t xml:space="preserve">Kretingos </w:t>
      </w:r>
      <w:r w:rsidR="00C300B3">
        <w:t>vandenys“</w:t>
      </w:r>
      <w:r>
        <w:rPr>
          <w:bCs/>
          <w:lang w:eastAsia="ar-SA"/>
        </w:rPr>
        <w:t xml:space="preserve"> (toliau – </w:t>
      </w:r>
      <w:r w:rsidR="00B81434">
        <w:rPr>
          <w:bCs/>
          <w:lang w:eastAsia="ar-SA"/>
        </w:rPr>
        <w:t>Bendrov</w:t>
      </w:r>
      <w:r>
        <w:rPr>
          <w:bCs/>
          <w:lang w:eastAsia="ar-SA"/>
        </w:rPr>
        <w:t xml:space="preserve">ė) lūkesčių raštą, kuriame pateikiami </w:t>
      </w:r>
      <w:r w:rsidR="00B81434">
        <w:rPr>
          <w:bCs/>
          <w:lang w:eastAsia="ar-SA"/>
        </w:rPr>
        <w:t>Kretingos rajono savivaldybės</w:t>
      </w:r>
      <w:r w:rsidR="007B25AB">
        <w:rPr>
          <w:bCs/>
          <w:lang w:eastAsia="ar-SA"/>
        </w:rPr>
        <w:t xml:space="preserve"> (toliau </w:t>
      </w:r>
      <w:r w:rsidR="001459C2">
        <w:rPr>
          <w:bCs/>
          <w:lang w:eastAsia="ar-SA"/>
        </w:rPr>
        <w:t>–</w:t>
      </w:r>
      <w:r w:rsidR="007B25AB">
        <w:rPr>
          <w:bCs/>
          <w:lang w:eastAsia="ar-SA"/>
        </w:rPr>
        <w:t xml:space="preserve"> Savivaldybės)</w:t>
      </w:r>
      <w:r>
        <w:rPr>
          <w:bCs/>
          <w:lang w:eastAsia="ar-SA"/>
        </w:rPr>
        <w:t xml:space="preserve"> lūkesčiai dėl</w:t>
      </w:r>
      <w:r w:rsidR="00B81434">
        <w:rPr>
          <w:bCs/>
          <w:lang w:eastAsia="ar-SA"/>
        </w:rPr>
        <w:t xml:space="preserve"> Bendrovės</w:t>
      </w:r>
      <w:r>
        <w:rPr>
          <w:bCs/>
          <w:lang w:eastAsia="ar-SA"/>
        </w:rPr>
        <w:t xml:space="preserve"> veiklos</w:t>
      </w:r>
      <w:r w:rsidR="00B81434">
        <w:rPr>
          <w:bCs/>
          <w:lang w:eastAsia="ar-SA"/>
        </w:rPr>
        <w:t>, krypčių, prioritetų ir tikslų</w:t>
      </w:r>
      <w:r w:rsidRPr="00A006F5">
        <w:rPr>
          <w:bCs/>
          <w:lang w:eastAsia="ar-SA"/>
        </w:rPr>
        <w:t>.</w:t>
      </w:r>
    </w:p>
    <w:p w14:paraId="563FD3C6" w14:textId="0692FE57" w:rsidR="00B96F22" w:rsidRDefault="00B77275" w:rsidP="00B77275">
      <w:pPr>
        <w:ind w:firstLine="794"/>
        <w:jc w:val="both"/>
        <w:rPr>
          <w:bCs/>
          <w:lang w:eastAsia="ar-SA"/>
        </w:rPr>
      </w:pPr>
      <w:r>
        <w:rPr>
          <w:bCs/>
          <w:lang w:eastAsia="ar-SA"/>
        </w:rPr>
        <w:t>Lūkesčiai formuluojami 4 metų laikotarpiui, tačiau pagal poreikį gali būti atnaujinami. Į Lūkesčių r</w:t>
      </w:r>
      <w:r w:rsidRPr="00BF1C23">
        <w:rPr>
          <w:bCs/>
          <w:lang w:eastAsia="ar-SA"/>
        </w:rPr>
        <w:t xml:space="preserve">aštą turi būti atsižvelgiama rengiant ir </w:t>
      </w:r>
      <w:r>
        <w:rPr>
          <w:bCs/>
          <w:lang w:eastAsia="ar-SA"/>
        </w:rPr>
        <w:t>atnaujinant</w:t>
      </w:r>
      <w:r w:rsidRPr="00BF1C23">
        <w:rPr>
          <w:bCs/>
          <w:lang w:eastAsia="ar-SA"/>
        </w:rPr>
        <w:t xml:space="preserve"> </w:t>
      </w:r>
      <w:r w:rsidR="00B81434">
        <w:rPr>
          <w:bCs/>
          <w:lang w:eastAsia="ar-SA"/>
        </w:rPr>
        <w:t>Be</w:t>
      </w:r>
      <w:r w:rsidR="00B40A22">
        <w:rPr>
          <w:bCs/>
          <w:lang w:eastAsia="ar-SA"/>
        </w:rPr>
        <w:t>n</w:t>
      </w:r>
      <w:r w:rsidR="00B81434">
        <w:rPr>
          <w:bCs/>
          <w:lang w:eastAsia="ar-SA"/>
        </w:rPr>
        <w:t>drovė</w:t>
      </w:r>
      <w:r>
        <w:rPr>
          <w:bCs/>
          <w:lang w:eastAsia="ar-SA"/>
        </w:rPr>
        <w:t>s</w:t>
      </w:r>
      <w:r w:rsidRPr="00BF1C23">
        <w:rPr>
          <w:bCs/>
          <w:lang w:eastAsia="ar-SA"/>
        </w:rPr>
        <w:t xml:space="preserve"> strateginį </w:t>
      </w:r>
      <w:r w:rsidR="00CD11DD">
        <w:rPr>
          <w:bCs/>
          <w:lang w:eastAsia="ar-SA"/>
        </w:rPr>
        <w:t xml:space="preserve">veiklos </w:t>
      </w:r>
      <w:r w:rsidRPr="00BF1C23">
        <w:rPr>
          <w:bCs/>
          <w:lang w:eastAsia="ar-SA"/>
        </w:rPr>
        <w:t>planą</w:t>
      </w:r>
      <w:r>
        <w:rPr>
          <w:bCs/>
          <w:lang w:eastAsia="ar-SA"/>
        </w:rPr>
        <w:t>.</w:t>
      </w:r>
    </w:p>
    <w:p w14:paraId="1A34096C" w14:textId="681DC236" w:rsidR="00CD11DD" w:rsidRDefault="00CD11DD" w:rsidP="00B77275">
      <w:pPr>
        <w:ind w:firstLine="794"/>
        <w:jc w:val="both"/>
        <w:rPr>
          <w:b/>
          <w:bCs/>
        </w:rPr>
      </w:pPr>
    </w:p>
    <w:p w14:paraId="7A62AB49" w14:textId="6FEE385F" w:rsidR="005F2119" w:rsidRDefault="00FE5702" w:rsidP="005F2119">
      <w:pPr>
        <w:ind w:firstLine="794"/>
        <w:rPr>
          <w:b/>
          <w:bCs/>
        </w:rPr>
      </w:pPr>
      <w:r>
        <w:rPr>
          <w:b/>
          <w:bCs/>
        </w:rPr>
        <w:t>Bendrov</w:t>
      </w:r>
      <w:r w:rsidR="00363BD7" w:rsidRPr="00363BD7">
        <w:rPr>
          <w:b/>
          <w:bCs/>
        </w:rPr>
        <w:t>ė ir jos veikla</w:t>
      </w:r>
    </w:p>
    <w:p w14:paraId="6BA11144" w14:textId="7AEC7594" w:rsidR="00CD11DD" w:rsidRDefault="00CD11DD" w:rsidP="00CD11DD">
      <w:pPr>
        <w:ind w:firstLine="851"/>
        <w:jc w:val="both"/>
        <w:rPr>
          <w:lang w:eastAsia="lt-LT"/>
        </w:rPr>
      </w:pPr>
      <w:r w:rsidRPr="00942823">
        <w:rPr>
          <w:lang w:eastAsia="lt-LT"/>
        </w:rPr>
        <w:t xml:space="preserve">Pagrindinė </w:t>
      </w:r>
      <w:r w:rsidR="00FE5702">
        <w:rPr>
          <w:lang w:eastAsia="lt-LT"/>
        </w:rPr>
        <w:t>Bendrov</w:t>
      </w:r>
      <w:r w:rsidRPr="00942823">
        <w:rPr>
          <w:lang w:eastAsia="lt-LT"/>
        </w:rPr>
        <w:t xml:space="preserve">ės </w:t>
      </w:r>
      <w:r>
        <w:rPr>
          <w:lang w:eastAsia="lt-LT"/>
        </w:rPr>
        <w:t>veikla</w:t>
      </w:r>
      <w:r w:rsidR="005762DB">
        <w:rPr>
          <w:lang w:eastAsia="lt-LT"/>
        </w:rPr>
        <w:t xml:space="preserve"> </w:t>
      </w:r>
      <w:r w:rsidR="005762DB">
        <w:rPr>
          <w:color w:val="000000"/>
          <w:lang w:eastAsia="lt-LT" w:bidi="lt-LT"/>
        </w:rPr>
        <w:t xml:space="preserve">susijusi su Lietuvos Respublikos vietos savivaldos įstatymo 6 straipsnio 30 punkte nurodytų Savivaldybės savarankiškųjų funkcijų </w:t>
      </w:r>
      <w:r w:rsidR="001459C2">
        <w:rPr>
          <w:color w:val="000000"/>
          <w:lang w:eastAsia="lt-LT" w:bidi="lt-LT"/>
        </w:rPr>
        <w:t>–</w:t>
      </w:r>
      <w:r w:rsidR="005762DB">
        <w:rPr>
          <w:color w:val="000000"/>
          <w:lang w:eastAsia="lt-LT" w:bidi="lt-LT"/>
        </w:rPr>
        <w:t xml:space="preserve"> geriamojo vandens tiekimo ir nuotekų tvarkymo</w:t>
      </w:r>
      <w:r w:rsidR="0067219F">
        <w:rPr>
          <w:color w:val="000000"/>
          <w:lang w:eastAsia="lt-LT" w:bidi="lt-LT"/>
        </w:rPr>
        <w:t xml:space="preserve"> </w:t>
      </w:r>
      <w:r w:rsidR="005762DB">
        <w:rPr>
          <w:color w:val="000000"/>
          <w:lang w:eastAsia="lt-LT" w:bidi="lt-LT"/>
        </w:rPr>
        <w:t>organizavimas</w:t>
      </w:r>
      <w:r w:rsidR="0067219F">
        <w:rPr>
          <w:color w:val="000000"/>
          <w:lang w:eastAsia="lt-LT" w:bidi="lt-LT"/>
        </w:rPr>
        <w:t xml:space="preserve"> </w:t>
      </w:r>
      <w:r w:rsidR="001459C2">
        <w:rPr>
          <w:color w:val="000000"/>
          <w:lang w:eastAsia="lt-LT" w:bidi="lt-LT"/>
        </w:rPr>
        <w:t>–</w:t>
      </w:r>
      <w:r w:rsidR="0067219F">
        <w:rPr>
          <w:color w:val="000000"/>
          <w:lang w:eastAsia="lt-LT" w:bidi="lt-LT"/>
        </w:rPr>
        <w:t xml:space="preserve"> </w:t>
      </w:r>
      <w:r w:rsidR="005762DB">
        <w:rPr>
          <w:color w:val="000000"/>
          <w:lang w:eastAsia="lt-LT" w:bidi="lt-LT"/>
        </w:rPr>
        <w:t>vykdymu</w:t>
      </w:r>
      <w:r w:rsidR="007B25AB" w:rsidRPr="007B25AB">
        <w:rPr>
          <w:bCs/>
          <w:iCs/>
        </w:rPr>
        <w:t>.</w:t>
      </w:r>
    </w:p>
    <w:p w14:paraId="023B201A" w14:textId="4CA7A4DD" w:rsidR="008B2402" w:rsidRDefault="0067219F" w:rsidP="0067219F">
      <w:pPr>
        <w:ind w:firstLine="794"/>
        <w:jc w:val="both"/>
        <w:rPr>
          <w:bCs/>
          <w:iCs/>
        </w:rPr>
      </w:pPr>
      <w:r>
        <w:rPr>
          <w:bCs/>
          <w:iCs/>
        </w:rPr>
        <w:t xml:space="preserve">Kretingos rajono savivaldybės tarybos 2015 m. </w:t>
      </w:r>
      <w:r w:rsidRPr="0067219F">
        <w:rPr>
          <w:bCs/>
          <w:iCs/>
        </w:rPr>
        <w:t xml:space="preserve">rugpjūčio 27 d. </w:t>
      </w:r>
      <w:r>
        <w:rPr>
          <w:bCs/>
          <w:iCs/>
        </w:rPr>
        <w:t xml:space="preserve">sprendimu </w:t>
      </w:r>
      <w:r w:rsidRPr="0067219F">
        <w:rPr>
          <w:bCs/>
          <w:iCs/>
        </w:rPr>
        <w:t>Nr. T2-249</w:t>
      </w:r>
      <w:r>
        <w:rPr>
          <w:bCs/>
          <w:iCs/>
        </w:rPr>
        <w:t xml:space="preserve"> „D</w:t>
      </w:r>
      <w:r w:rsidRPr="0067219F">
        <w:rPr>
          <w:iCs/>
        </w:rPr>
        <w:t>ėl viešojo geriamojo vandens tiekėjo, nuotekų tvarkytojo ir paviršinių nuotekų tvarkytojo paskyrimo“</w:t>
      </w:r>
      <w:r>
        <w:rPr>
          <w:bCs/>
          <w:iCs/>
        </w:rPr>
        <w:t xml:space="preserve"> Bendrovė paskirta </w:t>
      </w:r>
      <w:r w:rsidRPr="0067219F">
        <w:rPr>
          <w:bCs/>
          <w:iCs/>
        </w:rPr>
        <w:t>viešąja geriamojo vandens tiekėja ir nuotekų tvarkytoja</w:t>
      </w:r>
      <w:r>
        <w:rPr>
          <w:bCs/>
          <w:iCs/>
        </w:rPr>
        <w:t>, bei</w:t>
      </w:r>
      <w:r w:rsidRPr="0067219F">
        <w:rPr>
          <w:bCs/>
          <w:iCs/>
        </w:rPr>
        <w:t xml:space="preserve"> paviršinių nuotekų tvarkytoja Kretingos rajone</w:t>
      </w:r>
      <w:r>
        <w:rPr>
          <w:bCs/>
          <w:iCs/>
        </w:rPr>
        <w:t xml:space="preserve">. </w:t>
      </w:r>
    </w:p>
    <w:p w14:paraId="6FBD8FF7" w14:textId="77777777" w:rsidR="007B25AB" w:rsidRPr="007B25AB" w:rsidRDefault="007B25AB" w:rsidP="003E4534">
      <w:pPr>
        <w:ind w:firstLine="794"/>
        <w:jc w:val="both"/>
        <w:rPr>
          <w:bCs/>
          <w:iCs/>
        </w:rPr>
      </w:pPr>
    </w:p>
    <w:p w14:paraId="798746C8" w14:textId="08A4470E" w:rsidR="00DC13C8" w:rsidRDefault="00363BD7" w:rsidP="00DF4CC5">
      <w:pPr>
        <w:ind w:firstLine="794"/>
        <w:jc w:val="both"/>
        <w:rPr>
          <w:iCs/>
        </w:rPr>
      </w:pPr>
      <w:r w:rsidRPr="00DC13C8">
        <w:rPr>
          <w:b/>
          <w:iCs/>
        </w:rPr>
        <w:t>Bendrovės veiklos prioritetai</w:t>
      </w:r>
      <w:r w:rsidR="00400AF2" w:rsidRPr="00DC13C8">
        <w:rPr>
          <w:iCs/>
        </w:rPr>
        <w:t xml:space="preserve"> </w:t>
      </w:r>
      <w:r w:rsidR="0067219F">
        <w:rPr>
          <w:color w:val="000000"/>
          <w:lang w:eastAsia="lt-LT" w:bidi="lt-LT"/>
        </w:rPr>
        <w:t>siejami su nuosekliai įgyvendinama misija - patikimu kokybiško geriamojo vandens tiekimu ir nuotekų tvarkymu tausojant gamtą.</w:t>
      </w:r>
    </w:p>
    <w:p w14:paraId="08E63797" w14:textId="77777777" w:rsidR="00C83D6D" w:rsidRPr="00DF4CC5" w:rsidRDefault="00C83D6D" w:rsidP="00DF4CC5">
      <w:pPr>
        <w:ind w:firstLine="794"/>
        <w:jc w:val="both"/>
        <w:rPr>
          <w:iCs/>
          <w:sz w:val="22"/>
          <w:szCs w:val="22"/>
        </w:rPr>
      </w:pPr>
    </w:p>
    <w:p w14:paraId="02EF5A93" w14:textId="77777777" w:rsidR="00C83D6D" w:rsidRPr="00366A83" w:rsidRDefault="00C83D6D" w:rsidP="00C83D6D">
      <w:pPr>
        <w:ind w:firstLine="794"/>
        <w:rPr>
          <w:b/>
          <w:bCs/>
        </w:rPr>
      </w:pPr>
      <w:r w:rsidRPr="00366A83">
        <w:rPr>
          <w:b/>
          <w:bCs/>
        </w:rPr>
        <w:t>Finansiniai lūkesčiai</w:t>
      </w:r>
    </w:p>
    <w:p w14:paraId="33726E27" w14:textId="670BE9C3" w:rsidR="00C83D6D" w:rsidRPr="00366A83" w:rsidRDefault="00FE5702" w:rsidP="00C83D6D">
      <w:pPr>
        <w:ind w:firstLine="794"/>
        <w:jc w:val="both"/>
      </w:pPr>
      <w:r>
        <w:t>Bendrov</w:t>
      </w:r>
      <w:r w:rsidR="00C83D6D">
        <w:t>ė</w:t>
      </w:r>
      <w:r w:rsidR="00C83D6D" w:rsidRPr="00366A83">
        <w:t xml:space="preserve"> turi siekti </w:t>
      </w:r>
      <w:r w:rsidR="00C83D6D">
        <w:t xml:space="preserve">tvarumo ir veikti </w:t>
      </w:r>
      <w:r w:rsidR="00C83D6D" w:rsidRPr="00175709">
        <w:t>pelning</w:t>
      </w:r>
      <w:r w:rsidR="00C83D6D">
        <w:t>ai</w:t>
      </w:r>
      <w:r w:rsidR="00C83D6D" w:rsidRPr="00366A83">
        <w:t>.</w:t>
      </w:r>
    </w:p>
    <w:p w14:paraId="47F8A337" w14:textId="77777777" w:rsidR="00C83D6D" w:rsidRPr="00E336A4" w:rsidRDefault="00C83D6D" w:rsidP="00C83D6D">
      <w:pPr>
        <w:jc w:val="center"/>
        <w:rPr>
          <w:b/>
          <w:caps/>
        </w:rPr>
      </w:pPr>
    </w:p>
    <w:p w14:paraId="289A45AE" w14:textId="77777777" w:rsidR="00C83D6D" w:rsidRDefault="00C83D6D" w:rsidP="00C83D6D">
      <w:pPr>
        <w:jc w:val="center"/>
        <w:rPr>
          <w:b/>
          <w:caps/>
        </w:rPr>
      </w:pPr>
      <w:r w:rsidRPr="00E336A4">
        <w:rPr>
          <w:b/>
          <w:caps/>
        </w:rPr>
        <w:t>FINANSINIŲ LŪKESČIŲ VERTINIMO RODIKLIAI</w:t>
      </w:r>
    </w:p>
    <w:p w14:paraId="416FEFBD" w14:textId="77777777" w:rsidR="00C83D6D" w:rsidRPr="00E336A4" w:rsidRDefault="00C83D6D" w:rsidP="00C83D6D">
      <w:pPr>
        <w:jc w:val="center"/>
        <w:rPr>
          <w:b/>
          <w:bCs/>
        </w:rPr>
      </w:pPr>
    </w:p>
    <w:tbl>
      <w:tblPr>
        <w:tblW w:w="5000" w:type="pct"/>
        <w:jc w:val="center"/>
        <w:tblLayout w:type="fixed"/>
        <w:tblLook w:val="04A0" w:firstRow="1" w:lastRow="0" w:firstColumn="1" w:lastColumn="0" w:noHBand="0" w:noVBand="1"/>
      </w:tblPr>
      <w:tblGrid>
        <w:gridCol w:w="554"/>
        <w:gridCol w:w="3256"/>
        <w:gridCol w:w="1246"/>
        <w:gridCol w:w="1177"/>
        <w:gridCol w:w="1132"/>
        <w:gridCol w:w="1277"/>
        <w:gridCol w:w="986"/>
      </w:tblGrid>
      <w:tr w:rsidR="00C83D6D" w:rsidRPr="0052473E" w14:paraId="02B57B91" w14:textId="77777777" w:rsidTr="0071019A">
        <w:trPr>
          <w:trHeight w:val="122"/>
          <w:jc w:val="center"/>
        </w:trPr>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7E4D0318" w14:textId="77777777" w:rsidR="00C83D6D" w:rsidRPr="0052473E" w:rsidRDefault="00C83D6D" w:rsidP="000717F7">
            <w:pPr>
              <w:jc w:val="center"/>
              <w:rPr>
                <w:b/>
                <w:bCs/>
                <w:color w:val="000000"/>
                <w:sz w:val="20"/>
                <w:szCs w:val="20"/>
              </w:rPr>
            </w:pPr>
            <w:r>
              <w:rPr>
                <w:b/>
                <w:bCs/>
                <w:color w:val="000000"/>
                <w:sz w:val="20"/>
                <w:szCs w:val="20"/>
              </w:rPr>
              <w:t>Eil. Nr.</w:t>
            </w:r>
          </w:p>
        </w:tc>
        <w:tc>
          <w:tcPr>
            <w:tcW w:w="1691" w:type="pct"/>
            <w:vMerge w:val="restart"/>
            <w:tcBorders>
              <w:top w:val="single" w:sz="4" w:space="0" w:color="auto"/>
              <w:left w:val="single" w:sz="4" w:space="0" w:color="auto"/>
              <w:bottom w:val="single" w:sz="4" w:space="0" w:color="auto"/>
              <w:right w:val="single" w:sz="4" w:space="0" w:color="auto"/>
            </w:tcBorders>
            <w:noWrap/>
            <w:vAlign w:val="center"/>
            <w:hideMark/>
          </w:tcPr>
          <w:p w14:paraId="6B7C9CF6" w14:textId="77777777" w:rsidR="00C83D6D" w:rsidRPr="0052473E" w:rsidRDefault="00C83D6D" w:rsidP="000717F7">
            <w:pPr>
              <w:jc w:val="center"/>
              <w:rPr>
                <w:b/>
                <w:bCs/>
                <w:color w:val="000000"/>
                <w:sz w:val="20"/>
                <w:szCs w:val="20"/>
              </w:rPr>
            </w:pPr>
            <w:r w:rsidRPr="0052473E">
              <w:rPr>
                <w:b/>
                <w:bCs/>
                <w:color w:val="000000"/>
                <w:sz w:val="20"/>
                <w:szCs w:val="20"/>
              </w:rPr>
              <w:t>Siektini finansiniai rodikliai</w:t>
            </w:r>
          </w:p>
        </w:tc>
        <w:tc>
          <w:tcPr>
            <w:tcW w:w="647" w:type="pct"/>
            <w:vMerge w:val="restart"/>
            <w:tcBorders>
              <w:top w:val="single" w:sz="4" w:space="0" w:color="auto"/>
              <w:left w:val="single" w:sz="4" w:space="0" w:color="auto"/>
              <w:bottom w:val="single" w:sz="4" w:space="0" w:color="auto"/>
              <w:right w:val="single" w:sz="4" w:space="0" w:color="auto"/>
            </w:tcBorders>
            <w:vAlign w:val="center"/>
            <w:hideMark/>
          </w:tcPr>
          <w:p w14:paraId="269E8347" w14:textId="77777777" w:rsidR="00C83D6D" w:rsidRPr="0052473E" w:rsidRDefault="00C83D6D" w:rsidP="000717F7">
            <w:pPr>
              <w:jc w:val="center"/>
              <w:rPr>
                <w:b/>
                <w:bCs/>
                <w:color w:val="000000"/>
                <w:sz w:val="20"/>
                <w:szCs w:val="20"/>
              </w:rPr>
            </w:pPr>
            <w:r w:rsidRPr="0052473E">
              <w:rPr>
                <w:b/>
                <w:bCs/>
                <w:color w:val="000000"/>
                <w:sz w:val="20"/>
                <w:szCs w:val="20"/>
              </w:rPr>
              <w:t xml:space="preserve">Matavimo vienetas </w:t>
            </w:r>
          </w:p>
        </w:tc>
        <w:tc>
          <w:tcPr>
            <w:tcW w:w="2374" w:type="pct"/>
            <w:gridSpan w:val="4"/>
            <w:tcBorders>
              <w:top w:val="single" w:sz="4" w:space="0" w:color="auto"/>
              <w:left w:val="nil"/>
              <w:bottom w:val="single" w:sz="4" w:space="0" w:color="auto"/>
              <w:right w:val="single" w:sz="4" w:space="0" w:color="auto"/>
            </w:tcBorders>
            <w:vAlign w:val="center"/>
            <w:hideMark/>
          </w:tcPr>
          <w:p w14:paraId="2A1F02A7" w14:textId="77777777" w:rsidR="00C83D6D" w:rsidRPr="0052473E" w:rsidRDefault="00C83D6D" w:rsidP="000717F7">
            <w:pPr>
              <w:jc w:val="center"/>
              <w:rPr>
                <w:b/>
                <w:bCs/>
                <w:color w:val="000000"/>
                <w:sz w:val="20"/>
                <w:szCs w:val="20"/>
              </w:rPr>
            </w:pPr>
            <w:r w:rsidRPr="0052473E">
              <w:rPr>
                <w:b/>
                <w:bCs/>
                <w:color w:val="000000"/>
                <w:sz w:val="20"/>
                <w:szCs w:val="20"/>
              </w:rPr>
              <w:t>Siektinos rodiklių reikšmės</w:t>
            </w:r>
          </w:p>
        </w:tc>
      </w:tr>
      <w:tr w:rsidR="0071019A" w:rsidRPr="0052473E" w14:paraId="58C3BA56" w14:textId="77777777" w:rsidTr="00B2028B">
        <w:trPr>
          <w:trHeight w:val="168"/>
          <w:jc w:val="center"/>
        </w:trPr>
        <w:tc>
          <w:tcPr>
            <w:tcW w:w="288" w:type="pct"/>
            <w:vMerge/>
            <w:tcBorders>
              <w:top w:val="single" w:sz="4" w:space="0" w:color="auto"/>
              <w:left w:val="single" w:sz="4" w:space="0" w:color="auto"/>
              <w:bottom w:val="single" w:sz="4" w:space="0" w:color="auto"/>
              <w:right w:val="single" w:sz="4" w:space="0" w:color="auto"/>
            </w:tcBorders>
            <w:vAlign w:val="center"/>
            <w:hideMark/>
          </w:tcPr>
          <w:p w14:paraId="07521450" w14:textId="77777777" w:rsidR="0071019A" w:rsidRPr="0052473E" w:rsidRDefault="0071019A" w:rsidP="0071019A">
            <w:pPr>
              <w:rPr>
                <w:b/>
                <w:bCs/>
                <w:color w:val="000000"/>
                <w:sz w:val="20"/>
                <w:szCs w:val="20"/>
              </w:rPr>
            </w:pPr>
          </w:p>
        </w:tc>
        <w:tc>
          <w:tcPr>
            <w:tcW w:w="1691" w:type="pct"/>
            <w:vMerge/>
            <w:tcBorders>
              <w:top w:val="single" w:sz="4" w:space="0" w:color="auto"/>
              <w:left w:val="single" w:sz="4" w:space="0" w:color="auto"/>
              <w:bottom w:val="single" w:sz="4" w:space="0" w:color="auto"/>
              <w:right w:val="single" w:sz="4" w:space="0" w:color="auto"/>
            </w:tcBorders>
            <w:vAlign w:val="center"/>
            <w:hideMark/>
          </w:tcPr>
          <w:p w14:paraId="72E2021A" w14:textId="77777777" w:rsidR="0071019A" w:rsidRPr="0052473E" w:rsidRDefault="0071019A" w:rsidP="0071019A">
            <w:pPr>
              <w:rPr>
                <w:b/>
                <w:bCs/>
                <w:color w:val="000000"/>
                <w:sz w:val="20"/>
                <w:szCs w:val="20"/>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63778363" w14:textId="77777777" w:rsidR="0071019A" w:rsidRPr="0052473E" w:rsidRDefault="0071019A" w:rsidP="0071019A">
            <w:pPr>
              <w:rPr>
                <w:b/>
                <w:bCs/>
                <w:color w:val="000000"/>
                <w:sz w:val="20"/>
                <w:szCs w:val="20"/>
              </w:rPr>
            </w:pPr>
          </w:p>
        </w:tc>
        <w:tc>
          <w:tcPr>
            <w:tcW w:w="611" w:type="pct"/>
            <w:tcBorders>
              <w:top w:val="nil"/>
              <w:left w:val="nil"/>
              <w:bottom w:val="single" w:sz="4" w:space="0" w:color="auto"/>
              <w:right w:val="single" w:sz="4" w:space="0" w:color="auto"/>
            </w:tcBorders>
            <w:vAlign w:val="center"/>
          </w:tcPr>
          <w:p w14:paraId="7AF869DE" w14:textId="1EAD4D8E" w:rsidR="0071019A" w:rsidRPr="0052473E" w:rsidRDefault="0071019A" w:rsidP="0071019A">
            <w:pPr>
              <w:jc w:val="center"/>
              <w:rPr>
                <w:b/>
                <w:bCs/>
                <w:color w:val="000000"/>
                <w:sz w:val="20"/>
                <w:szCs w:val="20"/>
              </w:rPr>
            </w:pPr>
            <w:r w:rsidRPr="0052473E">
              <w:rPr>
                <w:b/>
                <w:color w:val="000000"/>
                <w:sz w:val="20"/>
                <w:szCs w:val="20"/>
              </w:rPr>
              <w:t>202</w:t>
            </w:r>
            <w:r>
              <w:rPr>
                <w:b/>
                <w:color w:val="000000"/>
                <w:sz w:val="20"/>
                <w:szCs w:val="20"/>
              </w:rPr>
              <w:t>6</w:t>
            </w:r>
            <w:r w:rsidRPr="0052473E">
              <w:rPr>
                <w:b/>
                <w:color w:val="000000"/>
                <w:sz w:val="20"/>
                <w:szCs w:val="20"/>
              </w:rPr>
              <w:t xml:space="preserve"> m.</w:t>
            </w:r>
          </w:p>
        </w:tc>
        <w:tc>
          <w:tcPr>
            <w:tcW w:w="588" w:type="pct"/>
            <w:tcBorders>
              <w:top w:val="nil"/>
              <w:left w:val="nil"/>
              <w:bottom w:val="single" w:sz="4" w:space="0" w:color="auto"/>
              <w:right w:val="single" w:sz="4" w:space="0" w:color="auto"/>
            </w:tcBorders>
            <w:noWrap/>
            <w:vAlign w:val="center"/>
          </w:tcPr>
          <w:p w14:paraId="270261FC" w14:textId="7CFE36B2" w:rsidR="0071019A" w:rsidRPr="0052473E" w:rsidRDefault="0071019A" w:rsidP="0071019A">
            <w:pPr>
              <w:jc w:val="center"/>
              <w:rPr>
                <w:b/>
                <w:color w:val="000000"/>
                <w:sz w:val="20"/>
                <w:szCs w:val="20"/>
              </w:rPr>
            </w:pPr>
            <w:r w:rsidRPr="0052473E">
              <w:rPr>
                <w:b/>
                <w:color w:val="000000"/>
                <w:sz w:val="20"/>
                <w:szCs w:val="20"/>
              </w:rPr>
              <w:t>202</w:t>
            </w:r>
            <w:r>
              <w:rPr>
                <w:b/>
                <w:color w:val="000000"/>
                <w:sz w:val="20"/>
                <w:szCs w:val="20"/>
              </w:rPr>
              <w:t>7</w:t>
            </w:r>
            <w:r w:rsidRPr="0052473E">
              <w:rPr>
                <w:b/>
                <w:color w:val="000000"/>
                <w:sz w:val="20"/>
                <w:szCs w:val="20"/>
              </w:rPr>
              <w:t xml:space="preserve"> m.</w:t>
            </w:r>
          </w:p>
        </w:tc>
        <w:tc>
          <w:tcPr>
            <w:tcW w:w="663" w:type="pct"/>
            <w:tcBorders>
              <w:top w:val="nil"/>
              <w:left w:val="nil"/>
              <w:bottom w:val="single" w:sz="4" w:space="0" w:color="auto"/>
              <w:right w:val="single" w:sz="4" w:space="0" w:color="auto"/>
            </w:tcBorders>
            <w:noWrap/>
          </w:tcPr>
          <w:p w14:paraId="2175CF99" w14:textId="77ACF75C" w:rsidR="0071019A" w:rsidRPr="0052473E" w:rsidRDefault="0071019A" w:rsidP="0071019A">
            <w:pPr>
              <w:jc w:val="center"/>
              <w:rPr>
                <w:b/>
                <w:color w:val="000000"/>
                <w:sz w:val="20"/>
                <w:szCs w:val="20"/>
              </w:rPr>
            </w:pPr>
            <w:r w:rsidRPr="0052473E">
              <w:rPr>
                <w:b/>
                <w:color w:val="000000"/>
                <w:sz w:val="20"/>
                <w:szCs w:val="20"/>
              </w:rPr>
              <w:t>202</w:t>
            </w:r>
            <w:r>
              <w:rPr>
                <w:b/>
                <w:color w:val="000000"/>
                <w:sz w:val="20"/>
                <w:szCs w:val="20"/>
              </w:rPr>
              <w:t>8</w:t>
            </w:r>
            <w:r w:rsidRPr="0052473E">
              <w:rPr>
                <w:b/>
                <w:color w:val="000000"/>
                <w:sz w:val="20"/>
                <w:szCs w:val="20"/>
              </w:rPr>
              <w:t xml:space="preserve"> m.</w:t>
            </w:r>
          </w:p>
        </w:tc>
        <w:tc>
          <w:tcPr>
            <w:tcW w:w="512" w:type="pct"/>
            <w:tcBorders>
              <w:top w:val="nil"/>
              <w:left w:val="nil"/>
              <w:bottom w:val="single" w:sz="4" w:space="0" w:color="auto"/>
              <w:right w:val="single" w:sz="4" w:space="0" w:color="auto"/>
            </w:tcBorders>
          </w:tcPr>
          <w:p w14:paraId="74D98B59" w14:textId="0B7D9AF6" w:rsidR="0071019A" w:rsidRPr="0052473E" w:rsidRDefault="0071019A" w:rsidP="0071019A">
            <w:pPr>
              <w:jc w:val="center"/>
              <w:rPr>
                <w:b/>
                <w:color w:val="000000"/>
                <w:sz w:val="20"/>
                <w:szCs w:val="20"/>
              </w:rPr>
            </w:pPr>
            <w:r w:rsidRPr="0052473E">
              <w:rPr>
                <w:b/>
                <w:color w:val="000000"/>
                <w:sz w:val="20"/>
                <w:szCs w:val="20"/>
              </w:rPr>
              <w:t>202</w:t>
            </w:r>
            <w:r>
              <w:rPr>
                <w:b/>
                <w:color w:val="000000"/>
                <w:sz w:val="20"/>
                <w:szCs w:val="20"/>
              </w:rPr>
              <w:t>9</w:t>
            </w:r>
            <w:r w:rsidRPr="0052473E">
              <w:rPr>
                <w:b/>
                <w:color w:val="000000"/>
                <w:sz w:val="20"/>
                <w:szCs w:val="20"/>
              </w:rPr>
              <w:t xml:space="preserve"> m.</w:t>
            </w:r>
          </w:p>
        </w:tc>
      </w:tr>
      <w:tr w:rsidR="0071019A" w:rsidRPr="0052473E" w14:paraId="487EFFFF" w14:textId="77777777" w:rsidTr="00B2028B">
        <w:trPr>
          <w:trHeight w:val="453"/>
          <w:jc w:val="center"/>
        </w:trPr>
        <w:tc>
          <w:tcPr>
            <w:tcW w:w="288" w:type="pct"/>
            <w:tcBorders>
              <w:top w:val="nil"/>
              <w:left w:val="single" w:sz="4" w:space="0" w:color="auto"/>
              <w:bottom w:val="single" w:sz="4" w:space="0" w:color="auto"/>
              <w:right w:val="single" w:sz="4" w:space="0" w:color="auto"/>
            </w:tcBorders>
            <w:noWrap/>
            <w:vAlign w:val="center"/>
            <w:hideMark/>
          </w:tcPr>
          <w:p w14:paraId="67D04962" w14:textId="77777777" w:rsidR="0071019A" w:rsidRPr="0052473E" w:rsidRDefault="0071019A" w:rsidP="0071019A">
            <w:pPr>
              <w:jc w:val="center"/>
              <w:rPr>
                <w:color w:val="000000"/>
                <w:sz w:val="20"/>
                <w:szCs w:val="20"/>
              </w:rPr>
            </w:pPr>
            <w:r w:rsidRPr="0052473E">
              <w:rPr>
                <w:color w:val="000000"/>
                <w:sz w:val="20"/>
                <w:szCs w:val="20"/>
              </w:rPr>
              <w:t>1.</w:t>
            </w:r>
          </w:p>
        </w:tc>
        <w:tc>
          <w:tcPr>
            <w:tcW w:w="1691" w:type="pct"/>
            <w:tcBorders>
              <w:top w:val="nil"/>
              <w:left w:val="nil"/>
              <w:bottom w:val="single" w:sz="4" w:space="0" w:color="auto"/>
              <w:right w:val="single" w:sz="4" w:space="0" w:color="auto"/>
            </w:tcBorders>
            <w:noWrap/>
            <w:vAlign w:val="center"/>
            <w:hideMark/>
          </w:tcPr>
          <w:p w14:paraId="3C9C3421" w14:textId="77777777" w:rsidR="0071019A" w:rsidRPr="0052473E" w:rsidRDefault="0071019A" w:rsidP="0071019A">
            <w:pPr>
              <w:rPr>
                <w:bCs/>
                <w:color w:val="000000"/>
                <w:sz w:val="20"/>
                <w:szCs w:val="20"/>
              </w:rPr>
            </w:pPr>
            <w:r w:rsidRPr="0052473E">
              <w:rPr>
                <w:bCs/>
                <w:color w:val="000000"/>
                <w:sz w:val="20"/>
                <w:szCs w:val="20"/>
              </w:rPr>
              <w:t>Grynasis pelningumas</w:t>
            </w:r>
          </w:p>
        </w:tc>
        <w:tc>
          <w:tcPr>
            <w:tcW w:w="647" w:type="pct"/>
            <w:tcBorders>
              <w:top w:val="nil"/>
              <w:left w:val="nil"/>
              <w:bottom w:val="single" w:sz="4" w:space="0" w:color="auto"/>
              <w:right w:val="single" w:sz="4" w:space="0" w:color="auto"/>
            </w:tcBorders>
            <w:noWrap/>
            <w:vAlign w:val="center"/>
            <w:hideMark/>
          </w:tcPr>
          <w:p w14:paraId="4F88B5AC" w14:textId="77777777" w:rsidR="0071019A" w:rsidRPr="0052473E" w:rsidRDefault="0071019A" w:rsidP="0071019A">
            <w:pPr>
              <w:jc w:val="center"/>
              <w:rPr>
                <w:color w:val="000000"/>
                <w:sz w:val="20"/>
                <w:szCs w:val="20"/>
              </w:rPr>
            </w:pPr>
            <w:r>
              <w:rPr>
                <w:color w:val="000000"/>
                <w:sz w:val="20"/>
                <w:szCs w:val="20"/>
              </w:rPr>
              <w:t>reikšmė</w:t>
            </w:r>
          </w:p>
        </w:tc>
        <w:tc>
          <w:tcPr>
            <w:tcW w:w="611" w:type="pct"/>
            <w:tcBorders>
              <w:top w:val="nil"/>
              <w:left w:val="nil"/>
              <w:bottom w:val="single" w:sz="4" w:space="0" w:color="auto"/>
              <w:right w:val="single" w:sz="4" w:space="0" w:color="auto"/>
            </w:tcBorders>
            <w:vAlign w:val="center"/>
          </w:tcPr>
          <w:p w14:paraId="4AAE5F9A" w14:textId="46AE542B" w:rsidR="0071019A" w:rsidRPr="00193F87" w:rsidRDefault="0071019A" w:rsidP="0071019A">
            <w:pPr>
              <w:jc w:val="center"/>
              <w:rPr>
                <w:color w:val="000000"/>
                <w:sz w:val="18"/>
                <w:szCs w:val="18"/>
              </w:rPr>
            </w:pPr>
            <w:r w:rsidRPr="00193F87">
              <w:rPr>
                <w:color w:val="000000"/>
                <w:sz w:val="18"/>
                <w:szCs w:val="18"/>
              </w:rPr>
              <w:t>teigiamas</w:t>
            </w:r>
          </w:p>
        </w:tc>
        <w:tc>
          <w:tcPr>
            <w:tcW w:w="588" w:type="pct"/>
            <w:tcBorders>
              <w:top w:val="nil"/>
              <w:left w:val="nil"/>
              <w:bottom w:val="single" w:sz="4" w:space="0" w:color="auto"/>
              <w:right w:val="single" w:sz="4" w:space="0" w:color="auto"/>
            </w:tcBorders>
            <w:vAlign w:val="center"/>
          </w:tcPr>
          <w:p w14:paraId="1E9661CD" w14:textId="28DFDF0C" w:rsidR="0071019A" w:rsidRPr="00193F87" w:rsidRDefault="0071019A" w:rsidP="0071019A">
            <w:pPr>
              <w:jc w:val="center"/>
              <w:rPr>
                <w:color w:val="000000"/>
                <w:sz w:val="18"/>
                <w:szCs w:val="18"/>
              </w:rPr>
            </w:pPr>
            <w:r w:rsidRPr="00193F87">
              <w:rPr>
                <w:color w:val="000000"/>
                <w:sz w:val="18"/>
                <w:szCs w:val="18"/>
              </w:rPr>
              <w:t>teigiamas</w:t>
            </w:r>
          </w:p>
        </w:tc>
        <w:tc>
          <w:tcPr>
            <w:tcW w:w="663" w:type="pct"/>
            <w:tcBorders>
              <w:top w:val="nil"/>
              <w:left w:val="nil"/>
              <w:bottom w:val="single" w:sz="4" w:space="0" w:color="auto"/>
              <w:right w:val="single" w:sz="4" w:space="0" w:color="auto"/>
            </w:tcBorders>
            <w:vAlign w:val="center"/>
          </w:tcPr>
          <w:p w14:paraId="0A32BA8F" w14:textId="2F7C98A4" w:rsidR="0071019A" w:rsidRPr="00193F87" w:rsidRDefault="0071019A" w:rsidP="0071019A">
            <w:pPr>
              <w:jc w:val="center"/>
              <w:rPr>
                <w:color w:val="000000"/>
                <w:sz w:val="18"/>
                <w:szCs w:val="18"/>
              </w:rPr>
            </w:pPr>
            <w:r w:rsidRPr="00193F87">
              <w:rPr>
                <w:color w:val="000000"/>
                <w:sz w:val="18"/>
                <w:szCs w:val="18"/>
              </w:rPr>
              <w:t>teigiamas</w:t>
            </w:r>
          </w:p>
        </w:tc>
        <w:tc>
          <w:tcPr>
            <w:tcW w:w="512" w:type="pct"/>
            <w:tcBorders>
              <w:top w:val="nil"/>
              <w:left w:val="nil"/>
              <w:bottom w:val="single" w:sz="4" w:space="0" w:color="auto"/>
              <w:right w:val="single" w:sz="4" w:space="0" w:color="auto"/>
            </w:tcBorders>
            <w:vAlign w:val="center"/>
          </w:tcPr>
          <w:p w14:paraId="4546CEF9" w14:textId="5DBA6147" w:rsidR="0071019A" w:rsidRPr="00193F87" w:rsidRDefault="0071019A" w:rsidP="0071019A">
            <w:pPr>
              <w:jc w:val="center"/>
              <w:rPr>
                <w:sz w:val="18"/>
                <w:szCs w:val="18"/>
              </w:rPr>
            </w:pPr>
            <w:r w:rsidRPr="00193F87">
              <w:rPr>
                <w:color w:val="000000"/>
                <w:sz w:val="18"/>
                <w:szCs w:val="18"/>
              </w:rPr>
              <w:t>teigiamas</w:t>
            </w:r>
          </w:p>
        </w:tc>
      </w:tr>
      <w:tr w:rsidR="0071019A" w:rsidRPr="0052473E" w14:paraId="0DC4EEBC" w14:textId="77777777" w:rsidTr="00B2028B">
        <w:trPr>
          <w:trHeight w:val="415"/>
          <w:jc w:val="center"/>
        </w:trPr>
        <w:tc>
          <w:tcPr>
            <w:tcW w:w="288" w:type="pct"/>
            <w:tcBorders>
              <w:top w:val="nil"/>
              <w:left w:val="single" w:sz="4" w:space="0" w:color="auto"/>
              <w:bottom w:val="single" w:sz="4" w:space="0" w:color="auto"/>
              <w:right w:val="single" w:sz="4" w:space="0" w:color="auto"/>
            </w:tcBorders>
            <w:noWrap/>
            <w:vAlign w:val="center"/>
            <w:hideMark/>
          </w:tcPr>
          <w:p w14:paraId="4B2FB5CC" w14:textId="77777777" w:rsidR="0071019A" w:rsidRPr="0052473E" w:rsidRDefault="0071019A" w:rsidP="0071019A">
            <w:pPr>
              <w:jc w:val="center"/>
              <w:rPr>
                <w:color w:val="000000"/>
                <w:sz w:val="20"/>
                <w:szCs w:val="20"/>
              </w:rPr>
            </w:pPr>
            <w:r w:rsidRPr="0052473E">
              <w:rPr>
                <w:color w:val="000000"/>
                <w:sz w:val="20"/>
                <w:szCs w:val="20"/>
              </w:rPr>
              <w:t>2.</w:t>
            </w:r>
          </w:p>
        </w:tc>
        <w:tc>
          <w:tcPr>
            <w:tcW w:w="1691" w:type="pct"/>
            <w:tcBorders>
              <w:top w:val="nil"/>
              <w:left w:val="nil"/>
              <w:bottom w:val="single" w:sz="4" w:space="0" w:color="auto"/>
              <w:right w:val="single" w:sz="4" w:space="0" w:color="auto"/>
            </w:tcBorders>
            <w:noWrap/>
            <w:vAlign w:val="center"/>
            <w:hideMark/>
          </w:tcPr>
          <w:p w14:paraId="005E3CFD" w14:textId="77777777" w:rsidR="0071019A" w:rsidRPr="0052473E" w:rsidRDefault="0071019A" w:rsidP="0071019A">
            <w:pPr>
              <w:rPr>
                <w:bCs/>
                <w:color w:val="000000"/>
                <w:sz w:val="20"/>
                <w:szCs w:val="20"/>
              </w:rPr>
            </w:pPr>
            <w:r>
              <w:rPr>
                <w:bCs/>
                <w:color w:val="000000"/>
                <w:sz w:val="20"/>
                <w:szCs w:val="20"/>
              </w:rPr>
              <w:t>Nuosavo kapitalo grąžą (ROE)</w:t>
            </w:r>
          </w:p>
        </w:tc>
        <w:tc>
          <w:tcPr>
            <w:tcW w:w="647" w:type="pct"/>
            <w:tcBorders>
              <w:top w:val="nil"/>
              <w:left w:val="nil"/>
              <w:bottom w:val="single" w:sz="4" w:space="0" w:color="auto"/>
              <w:right w:val="single" w:sz="4" w:space="0" w:color="auto"/>
            </w:tcBorders>
            <w:noWrap/>
            <w:vAlign w:val="center"/>
          </w:tcPr>
          <w:p w14:paraId="3A565C46" w14:textId="77777777" w:rsidR="0071019A" w:rsidRPr="0052473E" w:rsidRDefault="0071019A" w:rsidP="0071019A">
            <w:pPr>
              <w:jc w:val="center"/>
              <w:rPr>
                <w:color w:val="000000"/>
                <w:sz w:val="20"/>
                <w:szCs w:val="20"/>
              </w:rPr>
            </w:pPr>
            <w:r w:rsidRPr="0052473E">
              <w:rPr>
                <w:color w:val="000000"/>
                <w:sz w:val="20"/>
                <w:szCs w:val="20"/>
              </w:rPr>
              <w:t xml:space="preserve">Proc. </w:t>
            </w:r>
          </w:p>
        </w:tc>
        <w:tc>
          <w:tcPr>
            <w:tcW w:w="611" w:type="pct"/>
            <w:tcBorders>
              <w:top w:val="nil"/>
              <w:left w:val="nil"/>
              <w:bottom w:val="single" w:sz="4" w:space="0" w:color="auto"/>
              <w:right w:val="single" w:sz="4" w:space="0" w:color="auto"/>
            </w:tcBorders>
            <w:vAlign w:val="center"/>
          </w:tcPr>
          <w:p w14:paraId="1E1EC346" w14:textId="30E3A315" w:rsidR="0071019A" w:rsidRPr="0052473E" w:rsidRDefault="0071019A" w:rsidP="0071019A">
            <w:pPr>
              <w:jc w:val="center"/>
              <w:rPr>
                <w:color w:val="000000"/>
                <w:sz w:val="20"/>
                <w:szCs w:val="20"/>
              </w:rPr>
            </w:pPr>
            <w:r w:rsidRPr="00600ECC">
              <w:rPr>
                <w:sz w:val="22"/>
                <w:szCs w:val="22"/>
                <w:lang w:eastAsia="lt-LT"/>
              </w:rPr>
              <w:t>≥</w:t>
            </w:r>
            <w:r>
              <w:rPr>
                <w:color w:val="000000"/>
                <w:sz w:val="20"/>
                <w:szCs w:val="20"/>
              </w:rPr>
              <w:t>1</w:t>
            </w:r>
          </w:p>
        </w:tc>
        <w:tc>
          <w:tcPr>
            <w:tcW w:w="588" w:type="pct"/>
            <w:tcBorders>
              <w:top w:val="nil"/>
              <w:left w:val="nil"/>
              <w:bottom w:val="single" w:sz="4" w:space="0" w:color="auto"/>
              <w:right w:val="single" w:sz="4" w:space="0" w:color="auto"/>
            </w:tcBorders>
            <w:vAlign w:val="center"/>
          </w:tcPr>
          <w:p w14:paraId="1D360E20" w14:textId="27F424C9" w:rsidR="0071019A" w:rsidRPr="0052473E" w:rsidRDefault="0071019A" w:rsidP="0071019A">
            <w:pPr>
              <w:jc w:val="center"/>
              <w:rPr>
                <w:color w:val="000000"/>
                <w:sz w:val="20"/>
                <w:szCs w:val="20"/>
              </w:rPr>
            </w:pPr>
            <w:r w:rsidRPr="00600ECC">
              <w:rPr>
                <w:sz w:val="22"/>
                <w:szCs w:val="22"/>
                <w:lang w:eastAsia="lt-LT"/>
              </w:rPr>
              <w:t>≥</w:t>
            </w:r>
            <w:r>
              <w:rPr>
                <w:color w:val="000000"/>
                <w:sz w:val="20"/>
                <w:szCs w:val="20"/>
              </w:rPr>
              <w:t>1</w:t>
            </w:r>
          </w:p>
        </w:tc>
        <w:tc>
          <w:tcPr>
            <w:tcW w:w="663" w:type="pct"/>
            <w:tcBorders>
              <w:top w:val="nil"/>
              <w:left w:val="nil"/>
              <w:bottom w:val="single" w:sz="4" w:space="0" w:color="auto"/>
              <w:right w:val="single" w:sz="4" w:space="0" w:color="auto"/>
            </w:tcBorders>
            <w:vAlign w:val="center"/>
          </w:tcPr>
          <w:p w14:paraId="3DC8B638" w14:textId="5C3409C9" w:rsidR="0071019A" w:rsidRPr="0052473E" w:rsidRDefault="0071019A" w:rsidP="0071019A">
            <w:pPr>
              <w:jc w:val="center"/>
              <w:rPr>
                <w:color w:val="000000"/>
                <w:sz w:val="20"/>
                <w:szCs w:val="20"/>
              </w:rPr>
            </w:pPr>
            <w:r w:rsidRPr="00600ECC">
              <w:rPr>
                <w:sz w:val="22"/>
                <w:szCs w:val="22"/>
                <w:lang w:eastAsia="lt-LT"/>
              </w:rPr>
              <w:t>≥</w:t>
            </w:r>
            <w:r>
              <w:rPr>
                <w:sz w:val="20"/>
                <w:szCs w:val="20"/>
              </w:rPr>
              <w:t>1</w:t>
            </w:r>
          </w:p>
        </w:tc>
        <w:tc>
          <w:tcPr>
            <w:tcW w:w="512" w:type="pct"/>
            <w:tcBorders>
              <w:top w:val="nil"/>
              <w:left w:val="nil"/>
              <w:bottom w:val="single" w:sz="4" w:space="0" w:color="auto"/>
              <w:right w:val="single" w:sz="4" w:space="0" w:color="auto"/>
            </w:tcBorders>
            <w:vAlign w:val="center"/>
          </w:tcPr>
          <w:p w14:paraId="145EA3F7" w14:textId="6D438DEE" w:rsidR="0071019A" w:rsidRPr="0052473E" w:rsidRDefault="0071019A" w:rsidP="0071019A">
            <w:pPr>
              <w:jc w:val="center"/>
              <w:rPr>
                <w:sz w:val="20"/>
                <w:szCs w:val="20"/>
              </w:rPr>
            </w:pPr>
            <w:r w:rsidRPr="00600ECC">
              <w:rPr>
                <w:sz w:val="22"/>
                <w:szCs w:val="22"/>
                <w:lang w:eastAsia="lt-LT"/>
              </w:rPr>
              <w:t>≥</w:t>
            </w:r>
            <w:r>
              <w:rPr>
                <w:sz w:val="20"/>
                <w:szCs w:val="20"/>
              </w:rPr>
              <w:t>1</w:t>
            </w:r>
          </w:p>
        </w:tc>
      </w:tr>
      <w:tr w:rsidR="0071019A" w:rsidRPr="0052473E" w14:paraId="00BFB3E3" w14:textId="77777777" w:rsidTr="00B2028B">
        <w:trPr>
          <w:trHeight w:val="398"/>
          <w:jc w:val="center"/>
        </w:trPr>
        <w:tc>
          <w:tcPr>
            <w:tcW w:w="288" w:type="pct"/>
            <w:tcBorders>
              <w:top w:val="nil"/>
              <w:left w:val="single" w:sz="4" w:space="0" w:color="auto"/>
              <w:bottom w:val="single" w:sz="4" w:space="0" w:color="auto"/>
              <w:right w:val="single" w:sz="4" w:space="0" w:color="auto"/>
            </w:tcBorders>
            <w:noWrap/>
            <w:vAlign w:val="center"/>
          </w:tcPr>
          <w:p w14:paraId="57075805" w14:textId="77777777" w:rsidR="0071019A" w:rsidRPr="0052473E" w:rsidRDefault="0071019A" w:rsidP="0071019A">
            <w:pPr>
              <w:jc w:val="center"/>
              <w:rPr>
                <w:color w:val="000000"/>
                <w:sz w:val="20"/>
                <w:szCs w:val="20"/>
              </w:rPr>
            </w:pPr>
            <w:r w:rsidRPr="0052473E">
              <w:rPr>
                <w:color w:val="000000"/>
                <w:sz w:val="20"/>
                <w:szCs w:val="20"/>
              </w:rPr>
              <w:t>3.</w:t>
            </w:r>
          </w:p>
        </w:tc>
        <w:tc>
          <w:tcPr>
            <w:tcW w:w="1691" w:type="pct"/>
            <w:tcBorders>
              <w:top w:val="nil"/>
              <w:left w:val="nil"/>
              <w:bottom w:val="single" w:sz="4" w:space="0" w:color="auto"/>
              <w:right w:val="single" w:sz="4" w:space="0" w:color="auto"/>
            </w:tcBorders>
            <w:noWrap/>
            <w:vAlign w:val="center"/>
          </w:tcPr>
          <w:p w14:paraId="4FC89AB9" w14:textId="77777777" w:rsidR="0071019A" w:rsidRPr="0052473E" w:rsidRDefault="0071019A" w:rsidP="0071019A">
            <w:pPr>
              <w:rPr>
                <w:bCs/>
                <w:color w:val="000000"/>
                <w:sz w:val="20"/>
                <w:szCs w:val="20"/>
              </w:rPr>
            </w:pPr>
            <w:r>
              <w:rPr>
                <w:bCs/>
                <w:color w:val="000000"/>
                <w:sz w:val="20"/>
                <w:szCs w:val="20"/>
              </w:rPr>
              <w:t>Finansinės priklausomybės koeficientas (D/E)</w:t>
            </w:r>
          </w:p>
        </w:tc>
        <w:tc>
          <w:tcPr>
            <w:tcW w:w="647" w:type="pct"/>
            <w:tcBorders>
              <w:top w:val="nil"/>
              <w:left w:val="nil"/>
              <w:bottom w:val="single" w:sz="4" w:space="0" w:color="auto"/>
              <w:right w:val="single" w:sz="4" w:space="0" w:color="auto"/>
            </w:tcBorders>
            <w:noWrap/>
            <w:vAlign w:val="center"/>
          </w:tcPr>
          <w:p w14:paraId="5DE47C0E" w14:textId="77777777" w:rsidR="0071019A" w:rsidRPr="0052473E" w:rsidRDefault="0071019A" w:rsidP="0071019A">
            <w:pPr>
              <w:jc w:val="center"/>
              <w:rPr>
                <w:color w:val="000000"/>
                <w:sz w:val="20"/>
                <w:szCs w:val="20"/>
              </w:rPr>
            </w:pPr>
            <w:proofErr w:type="spellStart"/>
            <w:r w:rsidRPr="0052473E">
              <w:rPr>
                <w:color w:val="000000"/>
                <w:sz w:val="20"/>
                <w:szCs w:val="20"/>
              </w:rPr>
              <w:t>Koef</w:t>
            </w:r>
            <w:proofErr w:type="spellEnd"/>
            <w:r w:rsidRPr="0052473E">
              <w:rPr>
                <w:color w:val="000000"/>
                <w:sz w:val="20"/>
                <w:szCs w:val="20"/>
              </w:rPr>
              <w:t>.</w:t>
            </w:r>
          </w:p>
        </w:tc>
        <w:tc>
          <w:tcPr>
            <w:tcW w:w="611" w:type="pct"/>
            <w:tcBorders>
              <w:top w:val="nil"/>
              <w:left w:val="nil"/>
              <w:bottom w:val="single" w:sz="4" w:space="0" w:color="auto"/>
              <w:right w:val="single" w:sz="4" w:space="0" w:color="auto"/>
            </w:tcBorders>
            <w:vAlign w:val="center"/>
          </w:tcPr>
          <w:p w14:paraId="2177FE8D" w14:textId="630E1C17" w:rsidR="0071019A" w:rsidRPr="007D45DD" w:rsidRDefault="0071019A" w:rsidP="0071019A">
            <w:pPr>
              <w:jc w:val="center"/>
              <w:rPr>
                <w:sz w:val="20"/>
                <w:szCs w:val="20"/>
              </w:rPr>
            </w:pPr>
            <w:r w:rsidRPr="0052473E">
              <w:rPr>
                <w:sz w:val="20"/>
                <w:szCs w:val="20"/>
              </w:rPr>
              <w:t>≤</w:t>
            </w:r>
            <w:r>
              <w:rPr>
                <w:sz w:val="20"/>
                <w:szCs w:val="20"/>
              </w:rPr>
              <w:t>1</w:t>
            </w:r>
          </w:p>
        </w:tc>
        <w:tc>
          <w:tcPr>
            <w:tcW w:w="588" w:type="pct"/>
            <w:tcBorders>
              <w:top w:val="nil"/>
              <w:left w:val="nil"/>
              <w:bottom w:val="single" w:sz="4" w:space="0" w:color="auto"/>
              <w:right w:val="single" w:sz="4" w:space="0" w:color="auto"/>
            </w:tcBorders>
            <w:vAlign w:val="center"/>
          </w:tcPr>
          <w:p w14:paraId="136D3C6B" w14:textId="2F588396" w:rsidR="0071019A" w:rsidRPr="00DF4CC5" w:rsidRDefault="0071019A" w:rsidP="0071019A">
            <w:pPr>
              <w:jc w:val="center"/>
              <w:rPr>
                <w:color w:val="000000"/>
                <w:sz w:val="20"/>
                <w:szCs w:val="20"/>
              </w:rPr>
            </w:pPr>
            <w:r w:rsidRPr="0052473E">
              <w:rPr>
                <w:sz w:val="20"/>
                <w:szCs w:val="20"/>
              </w:rPr>
              <w:t>≤</w:t>
            </w:r>
            <w:r>
              <w:rPr>
                <w:sz w:val="20"/>
                <w:szCs w:val="20"/>
              </w:rPr>
              <w:t>1</w:t>
            </w:r>
          </w:p>
        </w:tc>
        <w:tc>
          <w:tcPr>
            <w:tcW w:w="663" w:type="pct"/>
            <w:tcBorders>
              <w:top w:val="nil"/>
              <w:left w:val="nil"/>
              <w:bottom w:val="single" w:sz="4" w:space="0" w:color="auto"/>
              <w:right w:val="single" w:sz="4" w:space="0" w:color="auto"/>
            </w:tcBorders>
            <w:vAlign w:val="center"/>
          </w:tcPr>
          <w:p w14:paraId="60B39C80" w14:textId="71BCD42D" w:rsidR="0071019A" w:rsidRPr="00DF4CC5" w:rsidRDefault="0071019A" w:rsidP="0071019A">
            <w:pPr>
              <w:jc w:val="center"/>
              <w:rPr>
                <w:color w:val="000000"/>
                <w:sz w:val="20"/>
                <w:szCs w:val="20"/>
              </w:rPr>
            </w:pPr>
            <w:r w:rsidRPr="0052473E">
              <w:rPr>
                <w:sz w:val="20"/>
                <w:szCs w:val="20"/>
              </w:rPr>
              <w:t>≤</w:t>
            </w:r>
            <w:r>
              <w:rPr>
                <w:sz w:val="20"/>
                <w:szCs w:val="20"/>
              </w:rPr>
              <w:t>1</w:t>
            </w:r>
          </w:p>
        </w:tc>
        <w:tc>
          <w:tcPr>
            <w:tcW w:w="512" w:type="pct"/>
            <w:tcBorders>
              <w:top w:val="nil"/>
              <w:left w:val="nil"/>
              <w:bottom w:val="single" w:sz="4" w:space="0" w:color="auto"/>
              <w:right w:val="single" w:sz="4" w:space="0" w:color="auto"/>
            </w:tcBorders>
            <w:vAlign w:val="center"/>
          </w:tcPr>
          <w:p w14:paraId="25D89458" w14:textId="01DA4576" w:rsidR="0071019A" w:rsidRPr="00DF4CC5" w:rsidRDefault="0071019A" w:rsidP="0071019A">
            <w:pPr>
              <w:jc w:val="center"/>
              <w:rPr>
                <w:sz w:val="20"/>
                <w:szCs w:val="20"/>
              </w:rPr>
            </w:pPr>
            <w:r w:rsidRPr="0052473E">
              <w:rPr>
                <w:sz w:val="20"/>
                <w:szCs w:val="20"/>
              </w:rPr>
              <w:t>≤</w:t>
            </w:r>
            <w:r>
              <w:rPr>
                <w:sz w:val="20"/>
                <w:szCs w:val="20"/>
              </w:rPr>
              <w:t>1</w:t>
            </w:r>
          </w:p>
        </w:tc>
      </w:tr>
      <w:tr w:rsidR="00B2028B" w:rsidRPr="0052473E" w14:paraId="54D31C5B" w14:textId="77777777" w:rsidTr="00B2028B">
        <w:trPr>
          <w:trHeight w:val="398"/>
          <w:jc w:val="center"/>
        </w:trPr>
        <w:tc>
          <w:tcPr>
            <w:tcW w:w="288" w:type="pct"/>
            <w:tcBorders>
              <w:top w:val="single" w:sz="4" w:space="0" w:color="auto"/>
              <w:left w:val="single" w:sz="4" w:space="0" w:color="auto"/>
              <w:bottom w:val="single" w:sz="4" w:space="0" w:color="auto"/>
              <w:right w:val="single" w:sz="4" w:space="0" w:color="auto"/>
            </w:tcBorders>
            <w:noWrap/>
            <w:vAlign w:val="center"/>
          </w:tcPr>
          <w:p w14:paraId="6CAD99D1" w14:textId="3CA045D9" w:rsidR="00B2028B" w:rsidRPr="0052473E" w:rsidRDefault="00B2028B" w:rsidP="00B2028B">
            <w:pPr>
              <w:jc w:val="center"/>
              <w:rPr>
                <w:color w:val="000000"/>
                <w:sz w:val="20"/>
                <w:szCs w:val="20"/>
              </w:rPr>
            </w:pPr>
            <w:r>
              <w:rPr>
                <w:color w:val="000000"/>
                <w:sz w:val="20"/>
                <w:szCs w:val="20"/>
              </w:rPr>
              <w:t>4.</w:t>
            </w:r>
          </w:p>
        </w:tc>
        <w:tc>
          <w:tcPr>
            <w:tcW w:w="1691" w:type="pct"/>
            <w:tcBorders>
              <w:top w:val="single" w:sz="4" w:space="0" w:color="auto"/>
              <w:left w:val="nil"/>
              <w:bottom w:val="single" w:sz="4" w:space="0" w:color="auto"/>
              <w:right w:val="single" w:sz="4" w:space="0" w:color="auto"/>
            </w:tcBorders>
            <w:noWrap/>
            <w:vAlign w:val="center"/>
          </w:tcPr>
          <w:p w14:paraId="5AF2DD76" w14:textId="5FB6BA9B" w:rsidR="00B2028B" w:rsidRDefault="00B2028B" w:rsidP="00B2028B">
            <w:pPr>
              <w:rPr>
                <w:bCs/>
                <w:color w:val="000000"/>
                <w:sz w:val="20"/>
                <w:szCs w:val="20"/>
              </w:rPr>
            </w:pPr>
            <w:r>
              <w:rPr>
                <w:bCs/>
                <w:color w:val="000000"/>
                <w:sz w:val="20"/>
                <w:szCs w:val="20"/>
              </w:rPr>
              <w:t>Finansinis pajėgumas</w:t>
            </w:r>
          </w:p>
        </w:tc>
        <w:tc>
          <w:tcPr>
            <w:tcW w:w="647" w:type="pct"/>
            <w:tcBorders>
              <w:top w:val="single" w:sz="4" w:space="0" w:color="auto"/>
              <w:left w:val="nil"/>
              <w:bottom w:val="single" w:sz="4" w:space="0" w:color="auto"/>
              <w:right w:val="single" w:sz="4" w:space="0" w:color="auto"/>
            </w:tcBorders>
            <w:noWrap/>
            <w:vAlign w:val="center"/>
          </w:tcPr>
          <w:p w14:paraId="3226DF7F" w14:textId="0864100B" w:rsidR="00B2028B" w:rsidRPr="0052473E" w:rsidRDefault="00B2028B" w:rsidP="00B2028B">
            <w:pPr>
              <w:jc w:val="center"/>
              <w:rPr>
                <w:color w:val="000000"/>
                <w:sz w:val="20"/>
                <w:szCs w:val="20"/>
              </w:rPr>
            </w:pPr>
          </w:p>
        </w:tc>
        <w:tc>
          <w:tcPr>
            <w:tcW w:w="611" w:type="pct"/>
            <w:tcBorders>
              <w:top w:val="single" w:sz="4" w:space="0" w:color="auto"/>
              <w:left w:val="nil"/>
              <w:bottom w:val="single" w:sz="4" w:space="0" w:color="auto"/>
              <w:right w:val="single" w:sz="4" w:space="0" w:color="auto"/>
            </w:tcBorders>
            <w:vAlign w:val="center"/>
          </w:tcPr>
          <w:p w14:paraId="1858C6A2" w14:textId="01C81E63" w:rsidR="00B2028B" w:rsidRPr="0052473E" w:rsidRDefault="00B2028B" w:rsidP="00B2028B">
            <w:pPr>
              <w:jc w:val="center"/>
              <w:rPr>
                <w:sz w:val="20"/>
                <w:szCs w:val="20"/>
              </w:rPr>
            </w:pPr>
            <w:r>
              <w:rPr>
                <w:color w:val="000000"/>
                <w:sz w:val="20"/>
                <w:szCs w:val="20"/>
              </w:rPr>
              <w:t>nustatyta VERT*</w:t>
            </w:r>
          </w:p>
        </w:tc>
        <w:tc>
          <w:tcPr>
            <w:tcW w:w="588" w:type="pct"/>
            <w:tcBorders>
              <w:top w:val="single" w:sz="4" w:space="0" w:color="auto"/>
              <w:left w:val="nil"/>
              <w:bottom w:val="single" w:sz="4" w:space="0" w:color="auto"/>
              <w:right w:val="single" w:sz="4" w:space="0" w:color="auto"/>
            </w:tcBorders>
            <w:vAlign w:val="center"/>
          </w:tcPr>
          <w:p w14:paraId="20C8F0DF" w14:textId="4695598F" w:rsidR="00B2028B" w:rsidRPr="0052473E" w:rsidRDefault="00B2028B" w:rsidP="00B2028B">
            <w:pPr>
              <w:jc w:val="center"/>
              <w:rPr>
                <w:sz w:val="20"/>
                <w:szCs w:val="20"/>
              </w:rPr>
            </w:pPr>
            <w:r>
              <w:rPr>
                <w:color w:val="000000"/>
                <w:sz w:val="20"/>
                <w:szCs w:val="20"/>
              </w:rPr>
              <w:t>nustatyta VERT</w:t>
            </w:r>
          </w:p>
        </w:tc>
        <w:tc>
          <w:tcPr>
            <w:tcW w:w="663" w:type="pct"/>
            <w:tcBorders>
              <w:top w:val="single" w:sz="4" w:space="0" w:color="auto"/>
              <w:left w:val="nil"/>
              <w:bottom w:val="single" w:sz="4" w:space="0" w:color="auto"/>
              <w:right w:val="single" w:sz="4" w:space="0" w:color="auto"/>
            </w:tcBorders>
            <w:vAlign w:val="center"/>
          </w:tcPr>
          <w:p w14:paraId="57CD6171" w14:textId="537C560E" w:rsidR="00B2028B" w:rsidRPr="0052473E" w:rsidRDefault="00B2028B" w:rsidP="00B2028B">
            <w:pPr>
              <w:jc w:val="center"/>
              <w:rPr>
                <w:sz w:val="20"/>
                <w:szCs w:val="20"/>
              </w:rPr>
            </w:pPr>
            <w:r>
              <w:rPr>
                <w:color w:val="000000"/>
                <w:sz w:val="20"/>
                <w:szCs w:val="20"/>
              </w:rPr>
              <w:t>nustatyta VERT</w:t>
            </w:r>
          </w:p>
        </w:tc>
        <w:tc>
          <w:tcPr>
            <w:tcW w:w="512" w:type="pct"/>
            <w:tcBorders>
              <w:top w:val="single" w:sz="4" w:space="0" w:color="auto"/>
              <w:left w:val="nil"/>
              <w:bottom w:val="single" w:sz="4" w:space="0" w:color="auto"/>
              <w:right w:val="single" w:sz="4" w:space="0" w:color="auto"/>
            </w:tcBorders>
            <w:vAlign w:val="center"/>
          </w:tcPr>
          <w:p w14:paraId="7D20225C" w14:textId="3EB03167" w:rsidR="00B2028B" w:rsidRPr="0052473E" w:rsidRDefault="00B2028B" w:rsidP="00B2028B">
            <w:pPr>
              <w:jc w:val="center"/>
              <w:rPr>
                <w:sz w:val="20"/>
                <w:szCs w:val="20"/>
              </w:rPr>
            </w:pPr>
            <w:r>
              <w:rPr>
                <w:color w:val="000000"/>
                <w:sz w:val="20"/>
                <w:szCs w:val="20"/>
              </w:rPr>
              <w:t>nustatyta VERT</w:t>
            </w:r>
          </w:p>
        </w:tc>
      </w:tr>
      <w:tr w:rsidR="00B2028B" w:rsidRPr="0052473E" w14:paraId="3543CF32" w14:textId="77777777" w:rsidTr="00B2028B">
        <w:trPr>
          <w:trHeight w:val="398"/>
          <w:jc w:val="center"/>
        </w:trPr>
        <w:tc>
          <w:tcPr>
            <w:tcW w:w="288" w:type="pct"/>
            <w:tcBorders>
              <w:top w:val="single" w:sz="4" w:space="0" w:color="auto"/>
              <w:left w:val="single" w:sz="4" w:space="0" w:color="auto"/>
              <w:bottom w:val="single" w:sz="4" w:space="0" w:color="auto"/>
              <w:right w:val="single" w:sz="4" w:space="0" w:color="auto"/>
            </w:tcBorders>
            <w:noWrap/>
            <w:vAlign w:val="center"/>
          </w:tcPr>
          <w:p w14:paraId="4C028095" w14:textId="4940FAA8" w:rsidR="00B2028B" w:rsidRDefault="00B2028B" w:rsidP="00B2028B">
            <w:pPr>
              <w:jc w:val="center"/>
              <w:rPr>
                <w:color w:val="000000"/>
                <w:sz w:val="20"/>
                <w:szCs w:val="20"/>
              </w:rPr>
            </w:pPr>
            <w:r>
              <w:rPr>
                <w:color w:val="000000"/>
                <w:sz w:val="20"/>
                <w:szCs w:val="20"/>
              </w:rPr>
              <w:t>5.</w:t>
            </w:r>
          </w:p>
        </w:tc>
        <w:tc>
          <w:tcPr>
            <w:tcW w:w="1691" w:type="pct"/>
            <w:tcBorders>
              <w:top w:val="single" w:sz="4" w:space="0" w:color="auto"/>
              <w:left w:val="nil"/>
              <w:bottom w:val="single" w:sz="4" w:space="0" w:color="auto"/>
              <w:right w:val="single" w:sz="4" w:space="0" w:color="auto"/>
            </w:tcBorders>
            <w:noWrap/>
            <w:vAlign w:val="center"/>
          </w:tcPr>
          <w:p w14:paraId="170BB2B1" w14:textId="30400134" w:rsidR="00B2028B" w:rsidRDefault="00B2028B" w:rsidP="00B2028B">
            <w:pPr>
              <w:rPr>
                <w:bCs/>
                <w:color w:val="000000"/>
                <w:sz w:val="20"/>
                <w:szCs w:val="20"/>
              </w:rPr>
            </w:pPr>
            <w:r>
              <w:rPr>
                <w:bCs/>
                <w:color w:val="000000"/>
                <w:sz w:val="20"/>
                <w:szCs w:val="20"/>
              </w:rPr>
              <w:t>Darbuotojų atlyginimų vidurkio augimas (</w:t>
            </w:r>
            <w:proofErr w:type="spellStart"/>
            <w:r>
              <w:rPr>
                <w:bCs/>
                <w:color w:val="000000"/>
                <w:sz w:val="20"/>
                <w:szCs w:val="20"/>
              </w:rPr>
              <w:t>išminusavus</w:t>
            </w:r>
            <w:proofErr w:type="spellEnd"/>
            <w:r>
              <w:rPr>
                <w:bCs/>
                <w:color w:val="000000"/>
                <w:sz w:val="20"/>
                <w:szCs w:val="20"/>
              </w:rPr>
              <w:t xml:space="preserve"> direktorių,</w:t>
            </w:r>
            <w:r w:rsidR="00265AFA">
              <w:rPr>
                <w:bCs/>
                <w:color w:val="000000"/>
                <w:sz w:val="20"/>
                <w:szCs w:val="20"/>
              </w:rPr>
              <w:t xml:space="preserve"> pavaduotoją,</w:t>
            </w:r>
            <w:r>
              <w:rPr>
                <w:bCs/>
                <w:color w:val="000000"/>
                <w:sz w:val="20"/>
                <w:szCs w:val="20"/>
              </w:rPr>
              <w:t xml:space="preserve"> p</w:t>
            </w:r>
            <w:r w:rsidR="001E4052">
              <w:rPr>
                <w:bCs/>
                <w:color w:val="000000"/>
                <w:sz w:val="20"/>
                <w:szCs w:val="20"/>
              </w:rPr>
              <w:t>adalinių vadovus</w:t>
            </w:r>
            <w:r>
              <w:rPr>
                <w:bCs/>
                <w:color w:val="000000"/>
                <w:sz w:val="20"/>
                <w:szCs w:val="20"/>
              </w:rPr>
              <w:t>, dirbanči</w:t>
            </w:r>
            <w:r w:rsidR="001E4052">
              <w:rPr>
                <w:bCs/>
                <w:color w:val="000000"/>
                <w:sz w:val="20"/>
                <w:szCs w:val="20"/>
              </w:rPr>
              <w:t>us</w:t>
            </w:r>
            <w:r>
              <w:rPr>
                <w:bCs/>
                <w:color w:val="000000"/>
                <w:sz w:val="20"/>
                <w:szCs w:val="20"/>
              </w:rPr>
              <w:t xml:space="preserve"> už MMA)</w:t>
            </w:r>
          </w:p>
        </w:tc>
        <w:tc>
          <w:tcPr>
            <w:tcW w:w="647" w:type="pct"/>
            <w:tcBorders>
              <w:top w:val="single" w:sz="4" w:space="0" w:color="auto"/>
              <w:left w:val="nil"/>
              <w:bottom w:val="single" w:sz="4" w:space="0" w:color="auto"/>
              <w:right w:val="single" w:sz="4" w:space="0" w:color="auto"/>
            </w:tcBorders>
            <w:noWrap/>
            <w:vAlign w:val="center"/>
          </w:tcPr>
          <w:p w14:paraId="36D2EC9E" w14:textId="7BC42545" w:rsidR="00B2028B" w:rsidRPr="0052473E" w:rsidRDefault="00B2028B" w:rsidP="00B2028B">
            <w:pPr>
              <w:jc w:val="center"/>
              <w:rPr>
                <w:color w:val="000000"/>
                <w:sz w:val="20"/>
                <w:szCs w:val="20"/>
              </w:rPr>
            </w:pPr>
            <w:r>
              <w:rPr>
                <w:color w:val="000000"/>
                <w:sz w:val="20"/>
                <w:szCs w:val="20"/>
              </w:rPr>
              <w:t>proc.</w:t>
            </w:r>
          </w:p>
        </w:tc>
        <w:tc>
          <w:tcPr>
            <w:tcW w:w="611" w:type="pct"/>
            <w:tcBorders>
              <w:top w:val="single" w:sz="4" w:space="0" w:color="auto"/>
              <w:left w:val="nil"/>
              <w:bottom w:val="single" w:sz="4" w:space="0" w:color="auto"/>
              <w:right w:val="single" w:sz="4" w:space="0" w:color="auto"/>
            </w:tcBorders>
            <w:vAlign w:val="center"/>
          </w:tcPr>
          <w:p w14:paraId="54CC4BB4" w14:textId="202C77B0" w:rsidR="00B2028B" w:rsidRDefault="00B2028B" w:rsidP="00B2028B">
            <w:pPr>
              <w:jc w:val="center"/>
              <w:rPr>
                <w:color w:val="000000"/>
                <w:sz w:val="20"/>
                <w:szCs w:val="20"/>
              </w:rPr>
            </w:pPr>
            <w:r w:rsidRPr="00600ECC">
              <w:rPr>
                <w:sz w:val="22"/>
                <w:szCs w:val="22"/>
                <w:lang w:eastAsia="lt-LT"/>
              </w:rPr>
              <w:t>≥</w:t>
            </w:r>
            <w:r>
              <w:rPr>
                <w:sz w:val="22"/>
                <w:szCs w:val="22"/>
                <w:lang w:eastAsia="lt-LT"/>
              </w:rPr>
              <w:t>4</w:t>
            </w:r>
          </w:p>
        </w:tc>
        <w:tc>
          <w:tcPr>
            <w:tcW w:w="588" w:type="pct"/>
            <w:tcBorders>
              <w:top w:val="single" w:sz="4" w:space="0" w:color="auto"/>
              <w:left w:val="nil"/>
              <w:bottom w:val="single" w:sz="4" w:space="0" w:color="auto"/>
              <w:right w:val="single" w:sz="4" w:space="0" w:color="auto"/>
            </w:tcBorders>
            <w:vAlign w:val="center"/>
          </w:tcPr>
          <w:p w14:paraId="3C811E38" w14:textId="248ECE10" w:rsidR="00B2028B" w:rsidRDefault="00B2028B" w:rsidP="00B2028B">
            <w:pPr>
              <w:jc w:val="center"/>
              <w:rPr>
                <w:color w:val="000000"/>
                <w:sz w:val="20"/>
                <w:szCs w:val="20"/>
              </w:rPr>
            </w:pPr>
            <w:r w:rsidRPr="00600ECC">
              <w:rPr>
                <w:sz w:val="22"/>
                <w:szCs w:val="22"/>
                <w:lang w:eastAsia="lt-LT"/>
              </w:rPr>
              <w:t>≥</w:t>
            </w:r>
            <w:r>
              <w:rPr>
                <w:sz w:val="22"/>
                <w:szCs w:val="22"/>
                <w:lang w:eastAsia="lt-LT"/>
              </w:rPr>
              <w:t>4</w:t>
            </w:r>
          </w:p>
        </w:tc>
        <w:tc>
          <w:tcPr>
            <w:tcW w:w="663" w:type="pct"/>
            <w:tcBorders>
              <w:top w:val="single" w:sz="4" w:space="0" w:color="auto"/>
              <w:left w:val="nil"/>
              <w:bottom w:val="single" w:sz="4" w:space="0" w:color="auto"/>
              <w:right w:val="single" w:sz="4" w:space="0" w:color="auto"/>
            </w:tcBorders>
            <w:vAlign w:val="center"/>
          </w:tcPr>
          <w:p w14:paraId="40711E6A" w14:textId="02B62D97" w:rsidR="00B2028B" w:rsidRDefault="00B2028B" w:rsidP="00B2028B">
            <w:pPr>
              <w:jc w:val="center"/>
              <w:rPr>
                <w:color w:val="000000"/>
                <w:sz w:val="20"/>
                <w:szCs w:val="20"/>
              </w:rPr>
            </w:pPr>
            <w:r w:rsidRPr="00600ECC">
              <w:rPr>
                <w:sz w:val="22"/>
                <w:szCs w:val="22"/>
                <w:lang w:eastAsia="lt-LT"/>
              </w:rPr>
              <w:t>≥</w:t>
            </w:r>
            <w:r>
              <w:rPr>
                <w:sz w:val="22"/>
                <w:szCs w:val="22"/>
                <w:lang w:eastAsia="lt-LT"/>
              </w:rPr>
              <w:t>4</w:t>
            </w:r>
          </w:p>
        </w:tc>
        <w:tc>
          <w:tcPr>
            <w:tcW w:w="512" w:type="pct"/>
            <w:tcBorders>
              <w:top w:val="single" w:sz="4" w:space="0" w:color="auto"/>
              <w:left w:val="nil"/>
              <w:bottom w:val="single" w:sz="4" w:space="0" w:color="auto"/>
              <w:right w:val="single" w:sz="4" w:space="0" w:color="auto"/>
            </w:tcBorders>
            <w:vAlign w:val="center"/>
          </w:tcPr>
          <w:p w14:paraId="4EA89AB4" w14:textId="6AE28DF2" w:rsidR="00B2028B" w:rsidRDefault="00B2028B" w:rsidP="00B2028B">
            <w:pPr>
              <w:jc w:val="center"/>
              <w:rPr>
                <w:color w:val="000000"/>
                <w:sz w:val="20"/>
                <w:szCs w:val="20"/>
              </w:rPr>
            </w:pPr>
            <w:r w:rsidRPr="00600ECC">
              <w:rPr>
                <w:sz w:val="22"/>
                <w:szCs w:val="22"/>
                <w:lang w:eastAsia="lt-LT"/>
              </w:rPr>
              <w:t>≥</w:t>
            </w:r>
            <w:r>
              <w:rPr>
                <w:sz w:val="22"/>
                <w:szCs w:val="22"/>
                <w:lang w:eastAsia="lt-LT"/>
              </w:rPr>
              <w:t>4</w:t>
            </w:r>
          </w:p>
        </w:tc>
      </w:tr>
    </w:tbl>
    <w:p w14:paraId="72C9EB08" w14:textId="7A563F4C" w:rsidR="007B4402" w:rsidRDefault="00B2028B" w:rsidP="00DC13C8">
      <w:pPr>
        <w:rPr>
          <w:bCs/>
        </w:rPr>
      </w:pPr>
      <w:r>
        <w:rPr>
          <w:bCs/>
        </w:rPr>
        <w:t>*</w:t>
      </w:r>
      <w:r w:rsidRPr="00B2028B">
        <w:rPr>
          <w:bCs/>
          <w:sz w:val="20"/>
          <w:szCs w:val="20"/>
        </w:rPr>
        <w:t>Valstybinė energetikos reguliavimo taryba</w:t>
      </w:r>
    </w:p>
    <w:p w14:paraId="4C1CD4EF" w14:textId="77777777" w:rsidR="00B2028B" w:rsidRPr="002B0536" w:rsidRDefault="00B2028B" w:rsidP="00DC13C8">
      <w:pPr>
        <w:rPr>
          <w:bCs/>
        </w:rPr>
      </w:pPr>
    </w:p>
    <w:p w14:paraId="7E0B6AE1" w14:textId="77777777" w:rsidR="0067219F" w:rsidRDefault="00363BD7" w:rsidP="0067219F">
      <w:pPr>
        <w:ind w:firstLine="794"/>
        <w:rPr>
          <w:b/>
          <w:bCs/>
        </w:rPr>
      </w:pPr>
      <w:r w:rsidRPr="00363BD7">
        <w:rPr>
          <w:b/>
          <w:bCs/>
        </w:rPr>
        <w:t>Nefinansiniai lūkesčiai</w:t>
      </w:r>
    </w:p>
    <w:p w14:paraId="273414EB" w14:textId="627A047F" w:rsidR="0067219F" w:rsidRPr="0067219F" w:rsidRDefault="0067219F" w:rsidP="0067219F">
      <w:pPr>
        <w:ind w:firstLine="794"/>
        <w:jc w:val="both"/>
        <w:rPr>
          <w:b/>
          <w:bCs/>
        </w:rPr>
      </w:pPr>
      <w:r>
        <w:rPr>
          <w:color w:val="000000"/>
          <w:lang w:eastAsia="lt-LT" w:bidi="lt-LT"/>
        </w:rPr>
        <w:t xml:space="preserve">Bendrovė turi siekti būti tvaria, pažangia, modernia, efektyvia, aiškiomis vertybėmis savo veiklą grindžiančia, solidžiu ir stipriu įvaizdžiu bei patrauklaus darbdavio reputaciją išlaikančia ir darbuotojų gerovę užtikrinančia bendrove. Bendrovė privalo vykdyti savo veiklą pagal aukščiausius </w:t>
      </w:r>
      <w:r>
        <w:rPr>
          <w:color w:val="000000"/>
          <w:lang w:eastAsia="lt-LT" w:bidi="lt-LT"/>
        </w:rPr>
        <w:lastRenderedPageBreak/>
        <w:t>antikorupcijos ir skaidrumo, valdysenos, etikos ir socialinės atsakomybės standartus, vadovautis gerąja tvaraus ir subalansuoto vystymosi praktika.</w:t>
      </w:r>
    </w:p>
    <w:p w14:paraId="743CAFA3" w14:textId="1710256A" w:rsidR="00E93F0E" w:rsidRPr="007C2FB0" w:rsidRDefault="00E93F0E" w:rsidP="0067219F">
      <w:pPr>
        <w:jc w:val="both"/>
        <w:rPr>
          <w:i/>
          <w:color w:val="000000"/>
        </w:rPr>
      </w:pPr>
    </w:p>
    <w:p w14:paraId="2B54EE6A" w14:textId="64056782" w:rsidR="00E92715" w:rsidRDefault="00DC13C8" w:rsidP="00D04521">
      <w:pPr>
        <w:ind w:firstLine="794"/>
        <w:jc w:val="both"/>
        <w:rPr>
          <w:bCs/>
          <w:lang w:eastAsia="ar-SA"/>
        </w:rPr>
      </w:pPr>
      <w:r w:rsidRPr="00363BD7">
        <w:rPr>
          <w:b/>
          <w:bCs/>
          <w:i/>
          <w:color w:val="000000"/>
        </w:rPr>
        <w:t>Plėtros lūkestis</w:t>
      </w:r>
      <w:r w:rsidR="0030616F">
        <w:rPr>
          <w:color w:val="000000"/>
        </w:rPr>
        <w:t xml:space="preserve">. </w:t>
      </w:r>
    </w:p>
    <w:p w14:paraId="617393C9" w14:textId="2ACF3827" w:rsidR="007C2FB0" w:rsidRDefault="00E92715" w:rsidP="00D04521">
      <w:pPr>
        <w:pStyle w:val="BodyText"/>
        <w:spacing w:before="0" w:beforeAutospacing="0" w:after="0" w:afterAutospacing="0"/>
        <w:ind w:firstLine="820"/>
        <w:jc w:val="both"/>
        <w:rPr>
          <w:color w:val="000000"/>
          <w:lang w:bidi="lt-LT"/>
        </w:rPr>
      </w:pPr>
      <w:r>
        <w:rPr>
          <w:color w:val="000000"/>
          <w:lang w:bidi="lt-LT"/>
        </w:rPr>
        <w:t xml:space="preserve">Bendrovės plėtros lūkestis susijęs su vandentiekio ir nuotekų surinkimo tinklų plėtra, siekiant didinti gyventojų, gaunančių geriamojo vandens tiekimo ir nuotekų tvarkymo paslaugas centralizuotai, skaičių. Vartotojų skaičiaus augimas sudaro prielaidas efektyviau panaudoti turimą infrastruktūrą bei kitus resursus ir per ekonomijos naudą užtikrina optimalias paslaugų kainas vartotojams. Kretingos rajono gyventojų bei ūkio subjektų prijungimas prie centralizuotų vandens ir nuotekų sistemų užtikrina jiems tinkamą tiekiamo vandens kokybę ir aplinkosauginius reikalavimus atitinkantį nuotekų tvarkymą. </w:t>
      </w:r>
    </w:p>
    <w:p w14:paraId="026AC760" w14:textId="16C6BDFF" w:rsidR="003A5C4F" w:rsidRDefault="00E92715" w:rsidP="00D04521">
      <w:pPr>
        <w:pStyle w:val="BodyText"/>
        <w:spacing w:before="0" w:beforeAutospacing="0" w:after="0" w:afterAutospacing="0"/>
        <w:ind w:firstLine="820"/>
        <w:jc w:val="both"/>
        <w:rPr>
          <w:color w:val="000000"/>
          <w:lang w:bidi="lt-LT"/>
        </w:rPr>
      </w:pPr>
      <w:r>
        <w:rPr>
          <w:color w:val="000000"/>
          <w:lang w:bidi="lt-LT"/>
        </w:rPr>
        <w:t>Kita plėtros sritis - nereguliuojamos veiklos paslaugų plėtra, kuri leistų efektyviau panaudoti Bendrovės vadybines kompetencijas, resursus, o ilgainiui galėtų generuoti didesnį veiklos pelną.</w:t>
      </w:r>
    </w:p>
    <w:p w14:paraId="3665484D" w14:textId="77777777" w:rsidR="007C2FB0" w:rsidRPr="007C2FB0" w:rsidRDefault="007C2FB0" w:rsidP="00D04521">
      <w:pPr>
        <w:pStyle w:val="BodyText"/>
        <w:spacing w:before="0" w:beforeAutospacing="0" w:after="0" w:afterAutospacing="0"/>
        <w:ind w:firstLine="820"/>
        <w:jc w:val="both"/>
        <w:rPr>
          <w:bCs/>
          <w:color w:val="000000"/>
        </w:rPr>
      </w:pPr>
    </w:p>
    <w:p w14:paraId="3EAC874A" w14:textId="77777777" w:rsidR="007C2FB0" w:rsidRDefault="00BE7FC2" w:rsidP="007C2FB0">
      <w:pPr>
        <w:pStyle w:val="BodyText"/>
        <w:spacing w:before="0" w:beforeAutospacing="0" w:after="0" w:afterAutospacing="0"/>
        <w:ind w:firstLine="851"/>
        <w:jc w:val="both"/>
      </w:pPr>
      <w:r w:rsidRPr="00363BD7">
        <w:rPr>
          <w:b/>
          <w:bCs/>
          <w:i/>
        </w:rPr>
        <w:t>Skaidrumo lūkestis</w:t>
      </w:r>
      <w:r>
        <w:t>.</w:t>
      </w:r>
    </w:p>
    <w:p w14:paraId="7BCEFB45" w14:textId="37D5A485" w:rsidR="007C2FB0" w:rsidRDefault="007C2FB0" w:rsidP="007C2FB0">
      <w:pPr>
        <w:pStyle w:val="BodyText"/>
        <w:spacing w:before="0" w:beforeAutospacing="0" w:after="0" w:afterAutospacing="0"/>
        <w:ind w:firstLine="851"/>
        <w:jc w:val="both"/>
        <w:rPr>
          <w:color w:val="000000"/>
          <w:lang w:bidi="lt-LT"/>
        </w:rPr>
      </w:pPr>
      <w:r>
        <w:rPr>
          <w:color w:val="000000"/>
          <w:lang w:bidi="lt-LT"/>
        </w:rPr>
        <w:t xml:space="preserve">Bendrovė </w:t>
      </w:r>
      <w:r w:rsidRPr="00DC3095">
        <w:rPr>
          <w:color w:val="000000"/>
          <w:lang w:eastAsia="en-US" w:bidi="en-US"/>
        </w:rPr>
        <w:t xml:space="preserve">turi vadovautis Lietuvos Respublikos </w:t>
      </w:r>
      <w:r>
        <w:rPr>
          <w:color w:val="000000"/>
          <w:lang w:bidi="lt-LT"/>
        </w:rPr>
        <w:t xml:space="preserve">Vyriausybės </w:t>
      </w:r>
      <w:r w:rsidRPr="00DC3095">
        <w:rPr>
          <w:color w:val="000000"/>
          <w:lang w:eastAsia="en-US" w:bidi="en-US"/>
        </w:rPr>
        <w:t xml:space="preserve">patvirtinto </w:t>
      </w:r>
      <w:r>
        <w:rPr>
          <w:color w:val="000000"/>
          <w:lang w:bidi="lt-LT"/>
        </w:rPr>
        <w:t xml:space="preserve">Valstybės valdomų įmonių skaidrumo užtikrinimo gairių aprašo (toliau </w:t>
      </w:r>
      <w:r w:rsidR="001459C2">
        <w:rPr>
          <w:color w:val="000000"/>
          <w:lang w:bidi="lt-LT"/>
        </w:rPr>
        <w:t>–</w:t>
      </w:r>
      <w:r>
        <w:rPr>
          <w:color w:val="000000"/>
          <w:lang w:bidi="lt-LT"/>
        </w:rPr>
        <w:t xml:space="preserve"> Skaidrumo gairės) nuostatomis, Bendrovės interneto svetainėje turi būti atskleidžiama Skaidrumo gairėse nustatyta visa privaloma skelbti informacija. Bendrovės valdymo organai bei aukščiausio lygio vadovai turi užtikrinti skaidrią Bendrovės veiklą bei ekonomiškai pagrįstus ir racionalius sprendimus, turi siekti </w:t>
      </w:r>
      <w:proofErr w:type="spellStart"/>
      <w:r>
        <w:rPr>
          <w:color w:val="000000"/>
          <w:lang w:bidi="lt-LT"/>
        </w:rPr>
        <w:t>depolitizuotos</w:t>
      </w:r>
      <w:proofErr w:type="spellEnd"/>
      <w:r>
        <w:rPr>
          <w:color w:val="000000"/>
          <w:lang w:bidi="lt-LT"/>
        </w:rPr>
        <w:t xml:space="preserve"> Bendrovės veiklos. Bendrovėje viešieji pirkimai turi būti vykdomi laikantis Lietuvos Respublikos teisės aktų reikalavimų bei turi būti užtikrinama, kad priimant bet kokius sprendimus būtų užkertamas kelias viešųjų ir privačių interesų konfliktams. Bendrovėje įgyvendinama nulinės tolerancijos korupcijai politika.</w:t>
      </w:r>
    </w:p>
    <w:p w14:paraId="4379127A" w14:textId="77777777" w:rsidR="007C2FB0" w:rsidRDefault="007C2FB0" w:rsidP="007C2FB0">
      <w:pPr>
        <w:pStyle w:val="BodyText"/>
        <w:spacing w:before="0" w:beforeAutospacing="0" w:after="0" w:afterAutospacing="0"/>
        <w:ind w:firstLine="851"/>
        <w:jc w:val="both"/>
      </w:pPr>
    </w:p>
    <w:p w14:paraId="652E8B6F" w14:textId="19153444" w:rsidR="0054201A" w:rsidRPr="00F474BF" w:rsidRDefault="00BE7FC2" w:rsidP="0054201A">
      <w:pPr>
        <w:ind w:firstLine="794"/>
        <w:jc w:val="both"/>
        <w:rPr>
          <w:iCs/>
          <w:color w:val="000000"/>
        </w:rPr>
      </w:pPr>
      <w:r w:rsidRPr="00B806B8">
        <w:rPr>
          <w:b/>
          <w:bCs/>
          <w:i/>
          <w:color w:val="000000"/>
        </w:rPr>
        <w:t>Socialinės atsakomybės lūkestis.</w:t>
      </w:r>
    </w:p>
    <w:p w14:paraId="4E6E02BF" w14:textId="12117CF0" w:rsidR="0054201A" w:rsidRDefault="0054201A" w:rsidP="0054201A">
      <w:pPr>
        <w:pStyle w:val="BodyText"/>
        <w:spacing w:before="0" w:beforeAutospacing="0" w:after="0" w:afterAutospacing="0"/>
        <w:ind w:firstLine="860"/>
        <w:jc w:val="both"/>
      </w:pPr>
      <w:r>
        <w:rPr>
          <w:color w:val="000000"/>
          <w:lang w:bidi="lt-LT"/>
        </w:rPr>
        <w:t xml:space="preserve">Bendrovė į </w:t>
      </w:r>
      <w:r w:rsidRPr="00DA7F1F">
        <w:rPr>
          <w:color w:val="000000"/>
          <w:lang w:eastAsia="en-US" w:bidi="en-US"/>
        </w:rPr>
        <w:t xml:space="preserve">savo </w:t>
      </w:r>
      <w:r>
        <w:rPr>
          <w:color w:val="000000"/>
          <w:lang w:bidi="lt-LT"/>
        </w:rPr>
        <w:t xml:space="preserve">veiklą, strategiją </w:t>
      </w:r>
      <w:r w:rsidRPr="00DA7F1F">
        <w:rPr>
          <w:color w:val="000000"/>
          <w:lang w:eastAsia="en-US" w:bidi="en-US"/>
        </w:rPr>
        <w:t xml:space="preserve">bei santykius su suinteresuotomis </w:t>
      </w:r>
      <w:r>
        <w:rPr>
          <w:color w:val="000000"/>
          <w:lang w:bidi="lt-LT"/>
        </w:rPr>
        <w:t xml:space="preserve">šalimis </w:t>
      </w:r>
      <w:r w:rsidRPr="00DA7F1F">
        <w:rPr>
          <w:color w:val="000000"/>
          <w:lang w:eastAsia="en-US" w:bidi="en-US"/>
        </w:rPr>
        <w:t xml:space="preserve">turi integruoti darnaus vystymosi principus aplinkosauginiu, socialiniu ir ekonominiu aspektais. </w:t>
      </w:r>
      <w:r>
        <w:rPr>
          <w:color w:val="000000"/>
          <w:lang w:bidi="lt-LT"/>
        </w:rPr>
        <w:t xml:space="preserve">Bendrovės </w:t>
      </w:r>
      <w:r w:rsidRPr="00DA7F1F">
        <w:rPr>
          <w:color w:val="000000"/>
          <w:lang w:eastAsia="en-US" w:bidi="en-US"/>
        </w:rPr>
        <w:t xml:space="preserve">vykdomos geriamojo vandens </w:t>
      </w:r>
      <w:r>
        <w:rPr>
          <w:color w:val="000000"/>
          <w:lang w:bidi="lt-LT"/>
        </w:rPr>
        <w:t xml:space="preserve">išgavimo, </w:t>
      </w:r>
      <w:r w:rsidRPr="00DA7F1F">
        <w:rPr>
          <w:color w:val="000000"/>
          <w:lang w:eastAsia="en-US" w:bidi="en-US"/>
        </w:rPr>
        <w:t xml:space="preserve">gerinimo bei </w:t>
      </w:r>
      <w:r>
        <w:rPr>
          <w:color w:val="000000"/>
          <w:lang w:bidi="lt-LT"/>
        </w:rPr>
        <w:t xml:space="preserve">nuotekų </w:t>
      </w:r>
      <w:r w:rsidRPr="00DA7F1F">
        <w:rPr>
          <w:color w:val="000000"/>
          <w:lang w:eastAsia="en-US" w:bidi="en-US"/>
        </w:rPr>
        <w:t xml:space="preserve">tvarkymo veiklos labai </w:t>
      </w:r>
      <w:r>
        <w:rPr>
          <w:color w:val="000000"/>
          <w:lang w:bidi="lt-LT"/>
        </w:rPr>
        <w:t xml:space="preserve">glaudžiai </w:t>
      </w:r>
      <w:r w:rsidRPr="00DA7F1F">
        <w:rPr>
          <w:color w:val="000000"/>
          <w:lang w:eastAsia="en-US" w:bidi="en-US"/>
        </w:rPr>
        <w:t xml:space="preserve">susijusios su aplinkosauga bei gamtos </w:t>
      </w:r>
      <w:r>
        <w:rPr>
          <w:color w:val="000000"/>
          <w:lang w:bidi="lt-LT"/>
        </w:rPr>
        <w:t xml:space="preserve">ištekliais, todėl </w:t>
      </w:r>
      <w:r w:rsidRPr="00DA7F1F">
        <w:rPr>
          <w:color w:val="000000"/>
          <w:lang w:eastAsia="en-US" w:bidi="en-US"/>
        </w:rPr>
        <w:t xml:space="preserve">vykdydama savo </w:t>
      </w:r>
      <w:r>
        <w:rPr>
          <w:color w:val="000000"/>
          <w:lang w:bidi="lt-LT"/>
        </w:rPr>
        <w:t xml:space="preserve">veiklą Bendrovė </w:t>
      </w:r>
      <w:r w:rsidRPr="00DA7F1F">
        <w:rPr>
          <w:color w:val="000000"/>
          <w:lang w:eastAsia="en-US" w:bidi="en-US"/>
        </w:rPr>
        <w:t xml:space="preserve">privalo </w:t>
      </w:r>
      <w:r>
        <w:rPr>
          <w:color w:val="000000"/>
          <w:lang w:bidi="lt-LT"/>
        </w:rPr>
        <w:t xml:space="preserve">užtikrinti technologinių procesų nepertraukiamumą </w:t>
      </w:r>
      <w:r w:rsidRPr="00DA7F1F">
        <w:rPr>
          <w:color w:val="000000"/>
          <w:lang w:eastAsia="en-US" w:bidi="en-US"/>
        </w:rPr>
        <w:t xml:space="preserve">bei </w:t>
      </w:r>
      <w:r>
        <w:rPr>
          <w:color w:val="000000"/>
          <w:lang w:bidi="lt-LT"/>
        </w:rPr>
        <w:t xml:space="preserve">visų įrenginių </w:t>
      </w:r>
      <w:r w:rsidRPr="00DA7F1F">
        <w:rPr>
          <w:color w:val="000000"/>
          <w:lang w:eastAsia="en-US" w:bidi="en-US"/>
        </w:rPr>
        <w:t xml:space="preserve">veikimo </w:t>
      </w:r>
      <w:r>
        <w:rPr>
          <w:color w:val="000000"/>
          <w:lang w:bidi="lt-LT"/>
        </w:rPr>
        <w:t xml:space="preserve">patikimumą, </w:t>
      </w:r>
      <w:r w:rsidRPr="00DA7F1F">
        <w:rPr>
          <w:color w:val="000000"/>
          <w:lang w:eastAsia="en-US" w:bidi="en-US"/>
        </w:rPr>
        <w:t xml:space="preserve">o </w:t>
      </w:r>
      <w:r>
        <w:rPr>
          <w:color w:val="000000"/>
          <w:lang w:bidi="lt-LT"/>
        </w:rPr>
        <w:t xml:space="preserve">galimų </w:t>
      </w:r>
      <w:r w:rsidRPr="00DA7F1F">
        <w:rPr>
          <w:color w:val="000000"/>
          <w:lang w:eastAsia="en-US" w:bidi="en-US"/>
        </w:rPr>
        <w:t xml:space="preserve">jos </w:t>
      </w:r>
      <w:r>
        <w:rPr>
          <w:color w:val="000000"/>
          <w:lang w:bidi="lt-LT"/>
        </w:rPr>
        <w:t xml:space="preserve">sutrikimų pavojų </w:t>
      </w:r>
      <w:r w:rsidRPr="00DA7F1F">
        <w:rPr>
          <w:color w:val="000000"/>
          <w:lang w:eastAsia="en-US" w:bidi="en-US"/>
        </w:rPr>
        <w:t xml:space="preserve">ir </w:t>
      </w:r>
      <w:r>
        <w:rPr>
          <w:color w:val="000000"/>
          <w:lang w:bidi="lt-LT"/>
        </w:rPr>
        <w:t xml:space="preserve">poveikį </w:t>
      </w:r>
      <w:r w:rsidRPr="00DA7F1F">
        <w:rPr>
          <w:color w:val="000000"/>
          <w:lang w:eastAsia="en-US" w:bidi="en-US"/>
        </w:rPr>
        <w:t xml:space="preserve">aplinkai </w:t>
      </w:r>
      <w:r>
        <w:rPr>
          <w:color w:val="000000"/>
          <w:lang w:bidi="lt-LT"/>
        </w:rPr>
        <w:t xml:space="preserve">sumažinti </w:t>
      </w:r>
      <w:r w:rsidRPr="00DA7F1F">
        <w:rPr>
          <w:color w:val="000000"/>
          <w:lang w:eastAsia="en-US" w:bidi="en-US"/>
        </w:rPr>
        <w:t xml:space="preserve">iki minimumo. </w:t>
      </w:r>
      <w:r>
        <w:rPr>
          <w:color w:val="000000"/>
          <w:lang w:bidi="lt-LT"/>
        </w:rPr>
        <w:t xml:space="preserve">Bendrovės </w:t>
      </w:r>
      <w:r w:rsidRPr="00DA7F1F">
        <w:rPr>
          <w:color w:val="000000"/>
          <w:lang w:eastAsia="en-US" w:bidi="en-US"/>
        </w:rPr>
        <w:t xml:space="preserve">technologijos bei investicijos turi </w:t>
      </w:r>
      <w:r>
        <w:rPr>
          <w:color w:val="000000"/>
          <w:lang w:bidi="lt-LT"/>
        </w:rPr>
        <w:t xml:space="preserve">būti </w:t>
      </w:r>
      <w:r w:rsidRPr="00DA7F1F">
        <w:rPr>
          <w:color w:val="000000"/>
          <w:lang w:eastAsia="en-US" w:bidi="en-US"/>
        </w:rPr>
        <w:t xml:space="preserve">orientuoti ne tik </w:t>
      </w:r>
      <w:r>
        <w:rPr>
          <w:color w:val="000000"/>
          <w:lang w:bidi="lt-LT"/>
        </w:rPr>
        <w:t xml:space="preserve">į kokybę, </w:t>
      </w:r>
      <w:r w:rsidRPr="00DA7F1F">
        <w:rPr>
          <w:color w:val="000000"/>
          <w:lang w:eastAsia="en-US" w:bidi="en-US"/>
        </w:rPr>
        <w:t xml:space="preserve">bet ir </w:t>
      </w:r>
      <w:r>
        <w:rPr>
          <w:color w:val="000000"/>
          <w:lang w:bidi="lt-LT"/>
        </w:rPr>
        <w:t xml:space="preserve">į ekologiją </w:t>
      </w:r>
      <w:r w:rsidRPr="00DA7F1F">
        <w:rPr>
          <w:color w:val="000000"/>
          <w:lang w:eastAsia="en-US" w:bidi="en-US"/>
        </w:rPr>
        <w:t xml:space="preserve">bei </w:t>
      </w:r>
      <w:r>
        <w:rPr>
          <w:color w:val="000000"/>
          <w:lang w:bidi="lt-LT"/>
        </w:rPr>
        <w:t>mažesnį energetinį poreikį.</w:t>
      </w:r>
    </w:p>
    <w:p w14:paraId="6D6C2B48" w14:textId="77777777" w:rsidR="0054201A" w:rsidRDefault="0054201A" w:rsidP="0054201A">
      <w:pPr>
        <w:pStyle w:val="BodyText"/>
        <w:spacing w:before="0" w:beforeAutospacing="0" w:after="0" w:afterAutospacing="0"/>
        <w:ind w:firstLine="860"/>
        <w:jc w:val="both"/>
      </w:pPr>
      <w:r>
        <w:rPr>
          <w:color w:val="000000"/>
          <w:lang w:bidi="lt-LT"/>
        </w:rPr>
        <w:t xml:space="preserve">Bendrovė </w:t>
      </w:r>
      <w:r w:rsidRPr="00DA7F1F">
        <w:rPr>
          <w:color w:val="000000"/>
          <w:lang w:eastAsia="en-US" w:bidi="en-US"/>
        </w:rPr>
        <w:t xml:space="preserve">turi siekti </w:t>
      </w:r>
      <w:r>
        <w:rPr>
          <w:color w:val="000000"/>
          <w:lang w:bidi="lt-LT"/>
        </w:rPr>
        <w:t xml:space="preserve">būti </w:t>
      </w:r>
      <w:r w:rsidRPr="00DA7F1F">
        <w:rPr>
          <w:color w:val="000000"/>
          <w:lang w:eastAsia="en-US" w:bidi="en-US"/>
        </w:rPr>
        <w:t xml:space="preserve">socialiai atsakingu partneriu visoms suinteresuotoms </w:t>
      </w:r>
      <w:r>
        <w:rPr>
          <w:color w:val="000000"/>
          <w:lang w:bidi="lt-LT"/>
        </w:rPr>
        <w:t xml:space="preserve">šalims, </w:t>
      </w:r>
      <w:r w:rsidRPr="00DA7F1F">
        <w:rPr>
          <w:color w:val="000000"/>
          <w:lang w:eastAsia="en-US" w:bidi="en-US"/>
        </w:rPr>
        <w:t xml:space="preserve">o tai </w:t>
      </w:r>
      <w:r>
        <w:rPr>
          <w:color w:val="000000"/>
          <w:lang w:bidi="lt-LT"/>
        </w:rPr>
        <w:t xml:space="preserve">apimtų žaliuosius </w:t>
      </w:r>
      <w:r w:rsidRPr="00DA7F1F">
        <w:rPr>
          <w:color w:val="000000"/>
          <w:lang w:eastAsia="en-US" w:bidi="en-US"/>
        </w:rPr>
        <w:t xml:space="preserve">pirkimus, socialiai </w:t>
      </w:r>
      <w:r>
        <w:rPr>
          <w:color w:val="000000"/>
          <w:lang w:bidi="lt-LT"/>
        </w:rPr>
        <w:t xml:space="preserve">atsakingų tiekėjų pasirinkimą </w:t>
      </w:r>
      <w:r w:rsidRPr="00DA7F1F">
        <w:rPr>
          <w:color w:val="000000"/>
          <w:lang w:eastAsia="en-US" w:bidi="en-US"/>
        </w:rPr>
        <w:t xml:space="preserve">bei </w:t>
      </w:r>
      <w:r>
        <w:rPr>
          <w:color w:val="000000"/>
          <w:lang w:bidi="lt-LT"/>
        </w:rPr>
        <w:t xml:space="preserve">socialinių projektų vykdymą. </w:t>
      </w:r>
      <w:r w:rsidRPr="00DA7F1F">
        <w:rPr>
          <w:color w:val="000000"/>
          <w:lang w:eastAsia="en-US" w:bidi="en-US"/>
        </w:rPr>
        <w:t xml:space="preserve">Vykdant </w:t>
      </w:r>
      <w:r>
        <w:rPr>
          <w:color w:val="000000"/>
          <w:lang w:bidi="lt-LT"/>
        </w:rPr>
        <w:t xml:space="preserve">žaliuosius </w:t>
      </w:r>
      <w:r w:rsidRPr="00DA7F1F">
        <w:rPr>
          <w:color w:val="000000"/>
          <w:lang w:eastAsia="en-US" w:bidi="en-US"/>
        </w:rPr>
        <w:t xml:space="preserve">pirkimus, </w:t>
      </w:r>
      <w:r>
        <w:rPr>
          <w:color w:val="000000"/>
          <w:lang w:bidi="lt-LT"/>
        </w:rPr>
        <w:t xml:space="preserve">Bendrovė prisidės </w:t>
      </w:r>
      <w:r w:rsidRPr="00DA7F1F">
        <w:rPr>
          <w:color w:val="000000"/>
          <w:lang w:eastAsia="en-US" w:bidi="en-US"/>
        </w:rPr>
        <w:t xml:space="preserve">prie </w:t>
      </w:r>
      <w:r>
        <w:rPr>
          <w:color w:val="000000"/>
          <w:lang w:bidi="lt-LT"/>
        </w:rPr>
        <w:t xml:space="preserve">žaliųjų technologijų plėtros </w:t>
      </w:r>
      <w:r w:rsidRPr="00DA7F1F">
        <w:rPr>
          <w:color w:val="000000"/>
          <w:lang w:eastAsia="en-US" w:bidi="en-US"/>
        </w:rPr>
        <w:t xml:space="preserve">skatinimo, taip </w:t>
      </w:r>
      <w:r>
        <w:rPr>
          <w:color w:val="000000"/>
          <w:lang w:bidi="lt-LT"/>
        </w:rPr>
        <w:t xml:space="preserve">užtikrins mažėjantį neigiamą poveikį </w:t>
      </w:r>
      <w:r w:rsidRPr="00DA7F1F">
        <w:rPr>
          <w:color w:val="000000"/>
          <w:lang w:eastAsia="en-US" w:bidi="en-US"/>
        </w:rPr>
        <w:t xml:space="preserve">aplinkai ir </w:t>
      </w:r>
      <w:r>
        <w:rPr>
          <w:color w:val="000000"/>
          <w:lang w:bidi="lt-LT"/>
        </w:rPr>
        <w:t>energetinių išteklių tausojimą.</w:t>
      </w:r>
    </w:p>
    <w:p w14:paraId="21E210A5" w14:textId="77777777" w:rsidR="00BE7FC2" w:rsidRPr="007C2FB0" w:rsidRDefault="00BE7FC2" w:rsidP="00BE7FC2">
      <w:pPr>
        <w:ind w:firstLine="794"/>
        <w:jc w:val="both"/>
        <w:rPr>
          <w:i/>
          <w:color w:val="000000"/>
        </w:rPr>
      </w:pPr>
    </w:p>
    <w:p w14:paraId="4FA04D71" w14:textId="77777777" w:rsidR="00D04521" w:rsidRDefault="00BE7FC2" w:rsidP="00D04521">
      <w:pPr>
        <w:ind w:firstLine="794"/>
        <w:jc w:val="both"/>
        <w:rPr>
          <w:b/>
          <w:bCs/>
          <w:color w:val="000000"/>
        </w:rPr>
      </w:pPr>
      <w:r w:rsidRPr="00363BD7">
        <w:rPr>
          <w:b/>
          <w:bCs/>
          <w:i/>
          <w:color w:val="000000"/>
        </w:rPr>
        <w:t>Klientų aptarnavimo kokybės lūkestis</w:t>
      </w:r>
      <w:r w:rsidRPr="00363BD7">
        <w:rPr>
          <w:b/>
          <w:bCs/>
          <w:color w:val="000000"/>
        </w:rPr>
        <w:t>.</w:t>
      </w:r>
      <w:r w:rsidR="00D04521">
        <w:rPr>
          <w:b/>
          <w:bCs/>
          <w:color w:val="000000"/>
        </w:rPr>
        <w:t xml:space="preserve"> </w:t>
      </w:r>
    </w:p>
    <w:p w14:paraId="0EB7DBEF" w14:textId="5FAD9EE4" w:rsidR="00CA6385" w:rsidRDefault="00D04521" w:rsidP="00CA6385">
      <w:pPr>
        <w:ind w:firstLine="794"/>
        <w:jc w:val="both"/>
        <w:rPr>
          <w:iCs/>
          <w:color w:val="000000"/>
        </w:rPr>
      </w:pPr>
      <w:r>
        <w:rPr>
          <w:color w:val="000000"/>
          <w:lang w:eastAsia="lt-LT" w:bidi="lt-LT"/>
        </w:rPr>
        <w:t xml:space="preserve">Bendrovės </w:t>
      </w:r>
      <w:r w:rsidRPr="00DC3095">
        <w:rPr>
          <w:color w:val="000000"/>
          <w:lang w:bidi="en-US"/>
        </w:rPr>
        <w:t xml:space="preserve">veikla bei verslo modelis yra </w:t>
      </w:r>
      <w:r>
        <w:rPr>
          <w:color w:val="000000"/>
          <w:lang w:eastAsia="lt-LT" w:bidi="lt-LT"/>
        </w:rPr>
        <w:t xml:space="preserve">pagrįsti klientų poreikių </w:t>
      </w:r>
      <w:r w:rsidRPr="00DC3095">
        <w:rPr>
          <w:color w:val="000000"/>
          <w:lang w:bidi="en-US"/>
        </w:rPr>
        <w:t xml:space="preserve">tenkinimu, </w:t>
      </w:r>
      <w:r>
        <w:rPr>
          <w:color w:val="000000"/>
          <w:lang w:eastAsia="lt-LT" w:bidi="lt-LT"/>
        </w:rPr>
        <w:t xml:space="preserve">užtikrinant kokybišką, saugų </w:t>
      </w:r>
      <w:r w:rsidRPr="00DC3095">
        <w:rPr>
          <w:color w:val="000000"/>
          <w:lang w:bidi="en-US"/>
        </w:rPr>
        <w:t xml:space="preserve">bei </w:t>
      </w:r>
      <w:r>
        <w:rPr>
          <w:color w:val="000000"/>
          <w:lang w:eastAsia="lt-LT" w:bidi="lt-LT"/>
        </w:rPr>
        <w:t xml:space="preserve">nenutrūkstamą paslaugų tiekimą </w:t>
      </w:r>
      <w:r w:rsidRPr="00DC3095">
        <w:rPr>
          <w:color w:val="000000"/>
          <w:lang w:bidi="en-US"/>
        </w:rPr>
        <w:t xml:space="preserve">(vandens atitiktis higienos normoms, </w:t>
      </w:r>
      <w:r>
        <w:rPr>
          <w:color w:val="000000"/>
          <w:lang w:eastAsia="lt-LT" w:bidi="lt-LT"/>
        </w:rPr>
        <w:t xml:space="preserve">slėgio </w:t>
      </w:r>
      <w:r w:rsidRPr="00DC3095">
        <w:rPr>
          <w:color w:val="000000"/>
          <w:lang w:bidi="en-US"/>
        </w:rPr>
        <w:t xml:space="preserve">reikalavimams, </w:t>
      </w:r>
      <w:r>
        <w:rPr>
          <w:color w:val="000000"/>
          <w:lang w:eastAsia="lt-LT" w:bidi="lt-LT"/>
        </w:rPr>
        <w:t xml:space="preserve">išvalytos </w:t>
      </w:r>
      <w:r w:rsidRPr="00DC3095">
        <w:rPr>
          <w:color w:val="000000"/>
          <w:lang w:bidi="en-US"/>
        </w:rPr>
        <w:t xml:space="preserve">nuotekos be </w:t>
      </w:r>
      <w:r>
        <w:rPr>
          <w:color w:val="000000"/>
          <w:lang w:eastAsia="lt-LT" w:bidi="lt-LT"/>
        </w:rPr>
        <w:t xml:space="preserve">nepagedaujamų kvapų </w:t>
      </w:r>
      <w:r w:rsidRPr="00DC3095">
        <w:rPr>
          <w:color w:val="000000"/>
          <w:lang w:bidi="en-US"/>
        </w:rPr>
        <w:t xml:space="preserve">ir t. t.). </w:t>
      </w:r>
      <w:r>
        <w:rPr>
          <w:color w:val="000000"/>
          <w:lang w:eastAsia="lt-LT" w:bidi="lt-LT"/>
        </w:rPr>
        <w:t xml:space="preserve">Bendrovė </w:t>
      </w:r>
      <w:r w:rsidRPr="00DC3095">
        <w:rPr>
          <w:color w:val="000000"/>
          <w:lang w:bidi="en-US"/>
        </w:rPr>
        <w:t xml:space="preserve">privalo </w:t>
      </w:r>
      <w:r>
        <w:rPr>
          <w:color w:val="000000"/>
          <w:lang w:eastAsia="lt-LT" w:bidi="lt-LT"/>
        </w:rPr>
        <w:t xml:space="preserve">periodiškai </w:t>
      </w:r>
      <w:r w:rsidRPr="00DC3095">
        <w:rPr>
          <w:color w:val="000000"/>
          <w:lang w:bidi="en-US"/>
        </w:rPr>
        <w:t xml:space="preserve">vykdyti aptarnavimo </w:t>
      </w:r>
      <w:r>
        <w:rPr>
          <w:color w:val="000000"/>
          <w:lang w:eastAsia="lt-LT" w:bidi="lt-LT"/>
        </w:rPr>
        <w:t xml:space="preserve">kokybės </w:t>
      </w:r>
      <w:r w:rsidRPr="00DC3095">
        <w:rPr>
          <w:color w:val="000000"/>
          <w:lang w:bidi="en-US"/>
        </w:rPr>
        <w:t xml:space="preserve">tyrimus ir, </w:t>
      </w:r>
      <w:r>
        <w:rPr>
          <w:color w:val="000000"/>
          <w:lang w:eastAsia="lt-LT" w:bidi="lt-LT"/>
        </w:rPr>
        <w:t xml:space="preserve">atsižvelgdama į </w:t>
      </w:r>
      <w:r w:rsidRPr="00DC3095">
        <w:rPr>
          <w:color w:val="000000"/>
          <w:lang w:bidi="en-US"/>
        </w:rPr>
        <w:t xml:space="preserve">juos, </w:t>
      </w:r>
      <w:r>
        <w:rPr>
          <w:color w:val="000000"/>
          <w:lang w:eastAsia="lt-LT" w:bidi="lt-LT"/>
        </w:rPr>
        <w:t xml:space="preserve">užtikrinti efektyvų, kokybišką klientų aptarnavimą </w:t>
      </w:r>
      <w:r w:rsidRPr="00DC3095">
        <w:rPr>
          <w:color w:val="000000"/>
          <w:lang w:bidi="en-US"/>
        </w:rPr>
        <w:t xml:space="preserve">per aptarnavimo </w:t>
      </w:r>
      <w:r>
        <w:rPr>
          <w:color w:val="000000"/>
          <w:lang w:eastAsia="lt-LT" w:bidi="lt-LT"/>
        </w:rPr>
        <w:t xml:space="preserve">kanalų, duomenų </w:t>
      </w:r>
      <w:r w:rsidRPr="00DC3095">
        <w:rPr>
          <w:color w:val="000000"/>
          <w:lang w:bidi="en-US"/>
        </w:rPr>
        <w:t xml:space="preserve">surinkimo bei atsiskaitymo </w:t>
      </w:r>
      <w:r>
        <w:rPr>
          <w:color w:val="000000"/>
          <w:lang w:eastAsia="lt-LT" w:bidi="lt-LT"/>
        </w:rPr>
        <w:t xml:space="preserve">skaitmenizavimą, sprendimų priėmimo greitį, </w:t>
      </w:r>
      <w:r w:rsidRPr="00DC3095">
        <w:rPr>
          <w:color w:val="000000"/>
          <w:lang w:bidi="en-US"/>
        </w:rPr>
        <w:t xml:space="preserve">nuolat didindama </w:t>
      </w:r>
      <w:r>
        <w:rPr>
          <w:color w:val="000000"/>
          <w:lang w:eastAsia="lt-LT" w:bidi="lt-LT"/>
        </w:rPr>
        <w:t>klientų pasitikėjimo indeksą.</w:t>
      </w:r>
      <w:r w:rsidR="00CA6385" w:rsidRPr="00CA6385">
        <w:rPr>
          <w:color w:val="000000"/>
          <w:lang w:eastAsia="lt-LT" w:bidi="lt-LT"/>
        </w:rPr>
        <w:t xml:space="preserve"> </w:t>
      </w:r>
      <w:r w:rsidR="00CA6385" w:rsidRPr="0054201A">
        <w:rPr>
          <w:color w:val="000000"/>
          <w:lang w:eastAsia="lt-LT" w:bidi="lt-LT"/>
        </w:rPr>
        <w:t xml:space="preserve">Bendrovė </w:t>
      </w:r>
      <w:r w:rsidR="00CA6385" w:rsidRPr="0054201A">
        <w:rPr>
          <w:color w:val="000000"/>
          <w:lang w:bidi="en-US"/>
        </w:rPr>
        <w:t xml:space="preserve">visuomenei turi teikti </w:t>
      </w:r>
      <w:r w:rsidR="00CA6385" w:rsidRPr="0054201A">
        <w:rPr>
          <w:color w:val="000000"/>
          <w:lang w:eastAsia="lt-LT" w:bidi="lt-LT"/>
        </w:rPr>
        <w:t xml:space="preserve">patikimą </w:t>
      </w:r>
      <w:r w:rsidR="00CA6385" w:rsidRPr="0054201A">
        <w:rPr>
          <w:color w:val="000000"/>
          <w:lang w:bidi="en-US"/>
        </w:rPr>
        <w:t xml:space="preserve">ir </w:t>
      </w:r>
      <w:r w:rsidR="00CA6385" w:rsidRPr="0054201A">
        <w:rPr>
          <w:color w:val="000000"/>
          <w:lang w:eastAsia="lt-LT" w:bidi="lt-LT"/>
        </w:rPr>
        <w:t xml:space="preserve">pagrįstą informaciją </w:t>
      </w:r>
      <w:r w:rsidR="00CA6385" w:rsidRPr="0054201A">
        <w:rPr>
          <w:color w:val="000000"/>
          <w:lang w:bidi="en-US"/>
        </w:rPr>
        <w:t xml:space="preserve">apie </w:t>
      </w:r>
      <w:r w:rsidR="00CA6385" w:rsidRPr="0054201A">
        <w:rPr>
          <w:color w:val="000000"/>
          <w:lang w:eastAsia="lt-LT" w:bidi="lt-LT"/>
        </w:rPr>
        <w:t>kainų pokyčius.</w:t>
      </w:r>
    </w:p>
    <w:p w14:paraId="0F6F7F5B" w14:textId="77777777" w:rsidR="00F474BF" w:rsidRPr="007C2FB0" w:rsidRDefault="00F474BF" w:rsidP="00BE7FC2">
      <w:pPr>
        <w:ind w:firstLine="794"/>
        <w:jc w:val="both"/>
        <w:rPr>
          <w:bCs/>
          <w:i/>
          <w:iCs/>
          <w:lang w:eastAsia="lt-LT"/>
        </w:rPr>
      </w:pPr>
    </w:p>
    <w:p w14:paraId="334623E7" w14:textId="77777777" w:rsidR="00D04521" w:rsidRDefault="00BE7FC2" w:rsidP="00BE7FC2">
      <w:pPr>
        <w:ind w:firstLine="794"/>
        <w:jc w:val="both"/>
        <w:rPr>
          <w:b/>
          <w:i/>
          <w:iCs/>
          <w:lang w:eastAsia="lt-LT"/>
        </w:rPr>
      </w:pPr>
      <w:r w:rsidRPr="005F2ADD">
        <w:rPr>
          <w:b/>
          <w:i/>
          <w:iCs/>
          <w:lang w:eastAsia="lt-LT"/>
        </w:rPr>
        <w:t>Inovatyvumo lūkestis</w:t>
      </w:r>
      <w:r w:rsidR="00227B4A">
        <w:rPr>
          <w:b/>
          <w:i/>
          <w:iCs/>
          <w:lang w:eastAsia="lt-LT"/>
        </w:rPr>
        <w:t xml:space="preserve">. </w:t>
      </w:r>
    </w:p>
    <w:p w14:paraId="7B2E4A1E" w14:textId="53C7CE67" w:rsidR="00BE7FC2" w:rsidRDefault="00227B4A" w:rsidP="00BE7FC2">
      <w:pPr>
        <w:ind w:firstLine="794"/>
        <w:jc w:val="both"/>
        <w:rPr>
          <w:b/>
          <w:bCs/>
          <w:i/>
          <w:color w:val="000000"/>
        </w:rPr>
      </w:pPr>
      <w:r w:rsidRPr="00227B4A">
        <w:rPr>
          <w:bCs/>
          <w:lang w:eastAsia="lt-LT"/>
        </w:rPr>
        <w:t>Bendrovė turėtų vertinti tendencijas</w:t>
      </w:r>
      <w:r w:rsidR="00FB7548">
        <w:rPr>
          <w:bCs/>
          <w:lang w:eastAsia="lt-LT"/>
        </w:rPr>
        <w:t xml:space="preserve"> ir</w:t>
      </w:r>
      <w:r w:rsidRPr="00227B4A">
        <w:rPr>
          <w:bCs/>
          <w:lang w:eastAsia="lt-LT"/>
        </w:rPr>
        <w:t xml:space="preserve"> naujas technologijas</w:t>
      </w:r>
      <w:r>
        <w:rPr>
          <w:bCs/>
          <w:lang w:eastAsia="lt-LT"/>
        </w:rPr>
        <w:t xml:space="preserve">, </w:t>
      </w:r>
      <w:r w:rsidRPr="00227B4A">
        <w:rPr>
          <w:bCs/>
          <w:lang w:eastAsia="lt-LT"/>
        </w:rPr>
        <w:t>kad galėtų pasinaudoti technologijų pažanga.</w:t>
      </w:r>
      <w:r w:rsidR="00FB7548">
        <w:rPr>
          <w:bCs/>
          <w:lang w:eastAsia="lt-LT"/>
        </w:rPr>
        <w:t xml:space="preserve"> A</w:t>
      </w:r>
      <w:r w:rsidR="00FB7548" w:rsidRPr="00FB7548">
        <w:rPr>
          <w:bCs/>
          <w:lang w:eastAsia="lt-LT"/>
        </w:rPr>
        <w:t>kcininkas tikisi, kad investicijos į technologijas bus suderintos su aiškiais verslo tikslais ir parodys teigiamą investicijų grąžą, kuriant ilgalaikę tvarią vertę</w:t>
      </w:r>
      <w:r w:rsidR="00BE1AFE">
        <w:rPr>
          <w:bCs/>
          <w:lang w:eastAsia="lt-LT"/>
        </w:rPr>
        <w:t xml:space="preserve"> ir</w:t>
      </w:r>
      <w:r w:rsidR="00FB7548" w:rsidRPr="00FB7548">
        <w:rPr>
          <w:bCs/>
          <w:lang w:eastAsia="lt-LT"/>
        </w:rPr>
        <w:t xml:space="preserve"> didinant sąnaudų efektyvumą</w:t>
      </w:r>
      <w:r w:rsidR="00BE1AFE">
        <w:rPr>
          <w:bCs/>
          <w:lang w:eastAsia="lt-LT"/>
        </w:rPr>
        <w:t>.</w:t>
      </w:r>
    </w:p>
    <w:p w14:paraId="6DBD8E7B" w14:textId="77777777" w:rsidR="00BE7FC2" w:rsidRPr="007C2FB0" w:rsidRDefault="00BE7FC2" w:rsidP="008264B1">
      <w:pPr>
        <w:ind w:firstLine="794"/>
        <w:jc w:val="both"/>
        <w:rPr>
          <w:i/>
          <w:color w:val="000000"/>
        </w:rPr>
      </w:pPr>
    </w:p>
    <w:p w14:paraId="218E160A" w14:textId="77777777" w:rsidR="007C2FB0" w:rsidRDefault="008264B1" w:rsidP="00E22A74">
      <w:pPr>
        <w:ind w:firstLine="794"/>
        <w:jc w:val="both"/>
        <w:rPr>
          <w:iCs/>
          <w:color w:val="000000"/>
        </w:rPr>
      </w:pPr>
      <w:r w:rsidRPr="00363BD7">
        <w:rPr>
          <w:b/>
          <w:bCs/>
          <w:i/>
          <w:color w:val="000000"/>
        </w:rPr>
        <w:t>Efektyvumo lūkestis.</w:t>
      </w:r>
      <w:r w:rsidR="0030616F">
        <w:rPr>
          <w:iCs/>
          <w:color w:val="000000"/>
        </w:rPr>
        <w:t xml:space="preserve"> </w:t>
      </w:r>
    </w:p>
    <w:p w14:paraId="6AAD5CEC" w14:textId="22B58C2A" w:rsidR="00E22A74" w:rsidRDefault="007C2FB0" w:rsidP="00E22A74">
      <w:pPr>
        <w:ind w:firstLine="794"/>
        <w:jc w:val="both"/>
        <w:rPr>
          <w:b/>
          <w:i/>
        </w:rPr>
      </w:pPr>
      <w:r>
        <w:rPr>
          <w:color w:val="000000"/>
          <w:lang w:eastAsia="lt-LT" w:bidi="lt-LT"/>
        </w:rPr>
        <w:t>Bendrovei keliami lūkesčiai, kad investicijos būtų vykdomos, įvertinus jų ekonominę naudą bei grąžą, vykdoma atsakinga išlaidų kontrolė, racionaliai ir atsakingai panaudojant Bendrovės lėšas, siekiant kuo daugiau panaudoti Europos sąjungos / valstybės fondų lėšų Bendrovės funkcijų vykdymui, didėjančių mokesčių ir kitų veiklos išlaidų kompensavimui turi būti ieškoma veiklos efektyvumo didinimo bei ieškomi pažangesni techniniai sprendimai, kurie užtikrintų efektyvų lėšų panaudojimą ir ilguoju laikotarpiu sudarytų sąlygas vartotojams turėti optimalias paslaugų kainas.</w:t>
      </w:r>
      <w:r w:rsidR="00CA6385">
        <w:rPr>
          <w:color w:val="000000"/>
          <w:lang w:eastAsia="lt-LT" w:bidi="lt-LT"/>
        </w:rPr>
        <w:t xml:space="preserve"> </w:t>
      </w:r>
    </w:p>
    <w:p w14:paraId="42F394FE" w14:textId="5BB2CD02" w:rsidR="007C2FB0" w:rsidRDefault="007C2FB0" w:rsidP="007C2FB0">
      <w:pPr>
        <w:ind w:firstLine="794"/>
        <w:jc w:val="both"/>
        <w:rPr>
          <w:iCs/>
          <w:color w:val="000000"/>
        </w:rPr>
      </w:pPr>
      <w:r>
        <w:rPr>
          <w:color w:val="000000"/>
          <w:lang w:eastAsia="lt-LT" w:bidi="lt-LT"/>
        </w:rPr>
        <w:t xml:space="preserve">Bendrovės </w:t>
      </w:r>
      <w:r w:rsidRPr="00DA7F1F">
        <w:rPr>
          <w:color w:val="000000"/>
          <w:lang w:bidi="en-US"/>
        </w:rPr>
        <w:t xml:space="preserve">veiklos efektyvumas turi </w:t>
      </w:r>
      <w:r>
        <w:rPr>
          <w:color w:val="000000"/>
          <w:lang w:eastAsia="lt-LT" w:bidi="lt-LT"/>
        </w:rPr>
        <w:t xml:space="preserve">būti </w:t>
      </w:r>
      <w:r w:rsidRPr="00DA7F1F">
        <w:rPr>
          <w:color w:val="000000"/>
          <w:lang w:bidi="en-US"/>
        </w:rPr>
        <w:t xml:space="preserve">vertinamas pagal </w:t>
      </w:r>
      <w:r>
        <w:rPr>
          <w:color w:val="000000"/>
          <w:lang w:eastAsia="lt-LT" w:bidi="lt-LT"/>
        </w:rPr>
        <w:t xml:space="preserve">Valstybinės </w:t>
      </w:r>
      <w:r w:rsidRPr="00DA7F1F">
        <w:rPr>
          <w:color w:val="000000"/>
          <w:lang w:bidi="en-US"/>
        </w:rPr>
        <w:t xml:space="preserve">energetikos reguliavimo tarybos </w:t>
      </w:r>
      <w:r>
        <w:rPr>
          <w:color w:val="000000"/>
          <w:lang w:eastAsia="lt-LT" w:bidi="lt-LT"/>
        </w:rPr>
        <w:t xml:space="preserve">skaičiuojamus </w:t>
      </w:r>
      <w:r w:rsidRPr="00DA7F1F">
        <w:rPr>
          <w:color w:val="000000"/>
          <w:lang w:bidi="en-US"/>
        </w:rPr>
        <w:t xml:space="preserve">palyginamuosius reguliuojamos veiklos rodiklius, pagal </w:t>
      </w:r>
      <w:r>
        <w:rPr>
          <w:color w:val="000000"/>
          <w:lang w:eastAsia="lt-LT" w:bidi="lt-LT"/>
        </w:rPr>
        <w:t xml:space="preserve">šiuos </w:t>
      </w:r>
      <w:r w:rsidRPr="00DA7F1F">
        <w:rPr>
          <w:color w:val="000000"/>
          <w:lang w:bidi="en-US"/>
        </w:rPr>
        <w:t xml:space="preserve">rodiklius </w:t>
      </w:r>
      <w:r>
        <w:rPr>
          <w:color w:val="000000"/>
          <w:lang w:eastAsia="lt-LT" w:bidi="lt-LT"/>
        </w:rPr>
        <w:t xml:space="preserve">Bendrovę </w:t>
      </w:r>
      <w:r w:rsidRPr="00DA7F1F">
        <w:rPr>
          <w:color w:val="000000"/>
          <w:lang w:bidi="en-US"/>
        </w:rPr>
        <w:t xml:space="preserve">lyginant su kitomis vandentvarkos </w:t>
      </w:r>
      <w:r>
        <w:rPr>
          <w:color w:val="000000"/>
          <w:lang w:eastAsia="lt-LT" w:bidi="lt-LT"/>
        </w:rPr>
        <w:t xml:space="preserve">įmonėmis. </w:t>
      </w:r>
      <w:r w:rsidRPr="0054201A">
        <w:rPr>
          <w:color w:val="000000"/>
          <w:lang w:eastAsia="lt-LT" w:bidi="lt-LT"/>
        </w:rPr>
        <w:t xml:space="preserve">Bendrovė </w:t>
      </w:r>
      <w:r w:rsidRPr="0054201A">
        <w:rPr>
          <w:color w:val="000000"/>
          <w:lang w:bidi="en-US"/>
        </w:rPr>
        <w:t xml:space="preserve">privalo </w:t>
      </w:r>
      <w:r w:rsidRPr="0054201A">
        <w:rPr>
          <w:color w:val="000000"/>
          <w:lang w:eastAsia="lt-LT" w:bidi="lt-LT"/>
        </w:rPr>
        <w:t xml:space="preserve">šiuos </w:t>
      </w:r>
      <w:r w:rsidRPr="0054201A">
        <w:rPr>
          <w:color w:val="000000"/>
          <w:lang w:bidi="en-US"/>
        </w:rPr>
        <w:t xml:space="preserve">rodiklius nuolat vertinti, lyginti bei </w:t>
      </w:r>
      <w:r w:rsidRPr="0054201A">
        <w:rPr>
          <w:color w:val="000000"/>
          <w:lang w:eastAsia="lt-LT" w:bidi="lt-LT"/>
        </w:rPr>
        <w:t xml:space="preserve">ieškoti priemonių </w:t>
      </w:r>
      <w:r w:rsidRPr="0054201A">
        <w:rPr>
          <w:color w:val="000000"/>
          <w:lang w:bidi="en-US"/>
        </w:rPr>
        <w:t xml:space="preserve">jiems gerinti. </w:t>
      </w:r>
    </w:p>
    <w:p w14:paraId="36A6ADAB" w14:textId="77777777" w:rsidR="007C2FB0" w:rsidRDefault="007C2FB0" w:rsidP="006B72EC">
      <w:pPr>
        <w:ind w:firstLine="794"/>
        <w:jc w:val="both"/>
        <w:rPr>
          <w:b/>
          <w:bCs/>
          <w:i/>
          <w:iCs/>
        </w:rPr>
      </w:pPr>
    </w:p>
    <w:p w14:paraId="4E4DD89F" w14:textId="62F0457D" w:rsidR="006B72EC" w:rsidRDefault="006B72EC" w:rsidP="006B72EC">
      <w:pPr>
        <w:ind w:firstLine="794"/>
        <w:jc w:val="both"/>
      </w:pPr>
      <w:r w:rsidRPr="00D731A2">
        <w:rPr>
          <w:b/>
          <w:bCs/>
          <w:i/>
          <w:iCs/>
        </w:rPr>
        <w:t>Lyderystės lūkestis</w:t>
      </w:r>
      <w:r>
        <w:rPr>
          <w:b/>
          <w:bCs/>
          <w:i/>
          <w:iCs/>
        </w:rPr>
        <w:t xml:space="preserve"> </w:t>
      </w:r>
      <w:r w:rsidRPr="00D731A2">
        <w:t xml:space="preserve">siejamas su </w:t>
      </w:r>
      <w:r w:rsidR="00E22A74">
        <w:t>Bendrovė</w:t>
      </w:r>
      <w:r w:rsidRPr="00D731A2">
        <w:t xml:space="preserve">s tikslu būti </w:t>
      </w:r>
      <w:r>
        <w:t xml:space="preserve">patikima, patrauklia, kuriančia ekonominę ir socialinę pridėtinę vertę </w:t>
      </w:r>
      <w:r w:rsidR="00E22A74">
        <w:t>Bendrove</w:t>
      </w:r>
      <w:r w:rsidR="00C83D6D">
        <w:t xml:space="preserve"> Kretingos rajone</w:t>
      </w:r>
      <w:r>
        <w:t>.</w:t>
      </w:r>
      <w:r w:rsidR="00E22A74">
        <w:t xml:space="preserve"> </w:t>
      </w:r>
      <w:r w:rsidR="00E22A74" w:rsidRPr="00E22A74">
        <w:t>Bendrovė turi išlaikyti ir pritraukti savo srities profesionalus, kurie prisidėtų prie Bendrovės pokyčių įgyvendinimo ir pridėtinės vertės kūrimo.</w:t>
      </w:r>
    </w:p>
    <w:p w14:paraId="43B20818" w14:textId="77777777" w:rsidR="006B72EC" w:rsidRPr="00D34D67" w:rsidRDefault="006B72EC" w:rsidP="006B72EC">
      <w:pPr>
        <w:ind w:firstLine="794"/>
        <w:jc w:val="both"/>
      </w:pPr>
    </w:p>
    <w:p w14:paraId="3612376F" w14:textId="10081724" w:rsidR="006B72EC" w:rsidRPr="007A1D59" w:rsidRDefault="006B72EC" w:rsidP="006B72EC">
      <w:pPr>
        <w:ind w:firstLine="794"/>
        <w:jc w:val="both"/>
        <w:rPr>
          <w:color w:val="000000"/>
        </w:rPr>
      </w:pPr>
      <w:r w:rsidRPr="00363BD7">
        <w:rPr>
          <w:b/>
          <w:bCs/>
          <w:i/>
          <w:color w:val="000000"/>
        </w:rPr>
        <w:t>Darbuotojų įsitraukimo</w:t>
      </w:r>
      <w:r>
        <w:rPr>
          <w:b/>
          <w:bCs/>
          <w:i/>
          <w:color w:val="000000"/>
        </w:rPr>
        <w:t xml:space="preserve"> </w:t>
      </w:r>
      <w:r w:rsidRPr="00363BD7">
        <w:rPr>
          <w:b/>
          <w:bCs/>
          <w:i/>
          <w:color w:val="000000"/>
        </w:rPr>
        <w:t>lūkestis</w:t>
      </w:r>
      <w:r w:rsidR="005972B6">
        <w:rPr>
          <w:color w:val="000000"/>
        </w:rPr>
        <w:t xml:space="preserve"> </w:t>
      </w:r>
      <w:r w:rsidRPr="00363BD7">
        <w:t>yra siejamas su aiškia, motyvuojančia bei su darbo rezultatais susieta atlygio sistema</w:t>
      </w:r>
      <w:bookmarkStart w:id="0" w:name="part_4b2b38d755ee46b3a9855323964328e0"/>
      <w:bookmarkEnd w:id="0"/>
      <w:r w:rsidRPr="00363BD7">
        <w:t xml:space="preserve"> ir darbuotojų pasitenkinimu, lojalumu ir aktyviu prisidėjimu prie </w:t>
      </w:r>
      <w:r w:rsidR="00E22A74">
        <w:t>Bendrov</w:t>
      </w:r>
      <w:r w:rsidRPr="00363BD7">
        <w:t xml:space="preserve">ės tikslų įgyvendinimo. </w:t>
      </w:r>
      <w:r w:rsidR="00E22A74">
        <w:t>Bendrov</w:t>
      </w:r>
      <w:r w:rsidRPr="00363BD7">
        <w:t>ė turi diegti aiškiomis vertybėmis pagrįstą vidinę kultūrą, kurdama solidų ir stiprų įvaizdį, siekti patrauklaus darbdavio</w:t>
      </w:r>
      <w:r>
        <w:t xml:space="preserve"> rajone</w:t>
      </w:r>
      <w:r w:rsidRPr="00363BD7">
        <w:t xml:space="preserve"> reputacijos</w:t>
      </w:r>
      <w:r>
        <w:t xml:space="preserve">, darbuotojų gerovės, darbo kokybės tobulinimo. </w:t>
      </w:r>
      <w:r w:rsidRPr="00363BD7">
        <w:rPr>
          <w:shd w:val="clear" w:color="auto" w:fill="FFFFFF"/>
        </w:rPr>
        <w:t>Darbuotojų įsitraukimas į darbą turi teigiamos įtakos darbuotojų darbo atlikimo kokybei, pasitenkinimui darbu</w:t>
      </w:r>
      <w:r>
        <w:rPr>
          <w:shd w:val="clear" w:color="auto" w:fill="FFFFFF"/>
        </w:rPr>
        <w:t xml:space="preserve"> </w:t>
      </w:r>
      <w:r w:rsidRPr="00363BD7">
        <w:rPr>
          <w:shd w:val="clear" w:color="auto" w:fill="FFFFFF"/>
        </w:rPr>
        <w:t>ir lojalumui Bendrovei.</w:t>
      </w:r>
      <w:r w:rsidRPr="00363BD7">
        <w:t xml:space="preserve"> </w:t>
      </w:r>
    </w:p>
    <w:p w14:paraId="4D1F8C15" w14:textId="77777777" w:rsidR="006B72EC" w:rsidRDefault="006B72EC" w:rsidP="00DE2D96">
      <w:pPr>
        <w:ind w:firstLine="794"/>
        <w:jc w:val="both"/>
        <w:rPr>
          <w:b/>
          <w:i/>
        </w:rPr>
      </w:pPr>
    </w:p>
    <w:p w14:paraId="5AA2B80F" w14:textId="08349CB6" w:rsidR="00D25D3E" w:rsidRDefault="006B72EC" w:rsidP="00E22A74">
      <w:pPr>
        <w:ind w:firstLine="794"/>
        <w:jc w:val="both"/>
      </w:pPr>
      <w:r>
        <w:rPr>
          <w:b/>
          <w:i/>
        </w:rPr>
        <w:t>Rizikos</w:t>
      </w:r>
      <w:r w:rsidR="00DE2D96" w:rsidRPr="00FF5520">
        <w:rPr>
          <w:b/>
          <w:i/>
        </w:rPr>
        <w:t xml:space="preserve"> valdymo lūkestis</w:t>
      </w:r>
      <w:r w:rsidR="00DE2D96" w:rsidRPr="00FF5520">
        <w:rPr>
          <w:i/>
        </w:rPr>
        <w:t xml:space="preserve">. </w:t>
      </w:r>
      <w:r w:rsidR="00E22A74" w:rsidRPr="0028724B">
        <w:t xml:space="preserve">Vadovaujantis vidaus kontrolei taikomais reikalavimais, nustatytais Lietuvos Respublikos vidaus kontrolės ir vidaus audito įstatyme, Bendrovėje turi būti </w:t>
      </w:r>
      <w:r w:rsidR="00E22A74">
        <w:t>nustatyta</w:t>
      </w:r>
      <w:r w:rsidR="00E22A74" w:rsidRPr="0028724B">
        <w:t xml:space="preserve"> </w:t>
      </w:r>
      <w:r w:rsidR="00E22A74">
        <w:t xml:space="preserve">ir įgyvendinama </w:t>
      </w:r>
      <w:r w:rsidR="00E22A74" w:rsidRPr="0028724B">
        <w:t>veiksminga vidaus kontrolės sistema, kuri padėtų užtikrinti jos veiklos teisėtumą, ekonomiškumą, efektyvumą, rezultatyvumą ir skaidrumą, strategijos ir veiklos planų įgyvendinimą, turto apsaugą, informacijos ir ataskaitų patikimumą bei išsamumą, sutartinių ir kitų įsipareigojimų tretiesiems asmenims laikymąsi ir visų su tuo susijusių rizikos veiksnių valdymą.</w:t>
      </w:r>
    </w:p>
    <w:p w14:paraId="4D13E4A7" w14:textId="77777777" w:rsidR="00E22A74" w:rsidRDefault="00E22A74" w:rsidP="00E22A74">
      <w:pPr>
        <w:ind w:firstLine="794"/>
        <w:jc w:val="both"/>
        <w:rPr>
          <w:b/>
          <w:bCs/>
          <w:i/>
          <w:color w:val="000000"/>
        </w:rPr>
      </w:pPr>
    </w:p>
    <w:p w14:paraId="6F5270D8" w14:textId="676443BD" w:rsidR="00564B66" w:rsidRDefault="006B72EC" w:rsidP="00564B66">
      <w:pPr>
        <w:ind w:firstLine="794"/>
        <w:jc w:val="both"/>
        <w:rPr>
          <w:lang w:eastAsia="lt-LT"/>
        </w:rPr>
      </w:pPr>
      <w:r>
        <w:rPr>
          <w:b/>
          <w:bCs/>
          <w:i/>
          <w:color w:val="000000"/>
        </w:rPr>
        <w:t>Gerosios v</w:t>
      </w:r>
      <w:r w:rsidR="00363BD7" w:rsidRPr="00363BD7">
        <w:rPr>
          <w:b/>
          <w:bCs/>
          <w:i/>
          <w:color w:val="000000"/>
        </w:rPr>
        <w:t>aldysenos lūkestis.</w:t>
      </w:r>
      <w:r w:rsidR="00363BD7" w:rsidRPr="00363BD7">
        <w:t xml:space="preserve"> </w:t>
      </w:r>
      <w:bookmarkStart w:id="1" w:name="_Hlk142650000"/>
      <w:r w:rsidR="00564B66">
        <w:t xml:space="preserve">Akcininkas tikisi, kad Bendrovės vadovybė bei valdymo organai </w:t>
      </w:r>
      <w:r w:rsidR="00564B66" w:rsidRPr="00EA2DA8">
        <w:rPr>
          <w:lang w:eastAsia="lt-LT"/>
        </w:rPr>
        <w:t xml:space="preserve">aiškiai supranta </w:t>
      </w:r>
      <w:r w:rsidR="00564B66">
        <w:rPr>
          <w:lang w:eastAsia="lt-LT"/>
        </w:rPr>
        <w:t>Bendrovės</w:t>
      </w:r>
      <w:r w:rsidR="00564B66" w:rsidRPr="00EA2DA8">
        <w:rPr>
          <w:lang w:eastAsia="lt-LT"/>
        </w:rPr>
        <w:t xml:space="preserve"> veiklos </w:t>
      </w:r>
      <w:r w:rsidR="00564B66">
        <w:rPr>
          <w:lang w:eastAsia="lt-LT"/>
        </w:rPr>
        <w:t xml:space="preserve">svarbą ir </w:t>
      </w:r>
      <w:r w:rsidR="00564B66" w:rsidRPr="00EA2DA8">
        <w:rPr>
          <w:lang w:eastAsia="lt-LT"/>
        </w:rPr>
        <w:t>reikšmingumą viešajam interesui</w:t>
      </w:r>
      <w:r w:rsidR="00564B66">
        <w:rPr>
          <w:lang w:eastAsia="lt-LT"/>
        </w:rPr>
        <w:t xml:space="preserve">. </w:t>
      </w:r>
      <w:r w:rsidR="00564B66">
        <w:t>Bendrovės organai turi</w:t>
      </w:r>
      <w:r w:rsidR="00564B66" w:rsidRPr="00C56FB8">
        <w:t xml:space="preserve"> veikti tinkamai, </w:t>
      </w:r>
      <w:r w:rsidR="00564B66">
        <w:t xml:space="preserve">objektyviai, </w:t>
      </w:r>
      <w:r w:rsidR="00564B66" w:rsidRPr="00C56FB8">
        <w:t>efektyviai ir ekonomiškai</w:t>
      </w:r>
      <w:r w:rsidR="00564B66">
        <w:t xml:space="preserve">, vadovaujantis sąžiningumo, protingumo ir gerosios valdysenos principais, </w:t>
      </w:r>
      <w:r w:rsidR="00564B66" w:rsidRPr="00C56FB8">
        <w:t>vykdyti savo pareigas pagal aukščiausius profesionalumo</w:t>
      </w:r>
      <w:r w:rsidR="00564B66">
        <w:t xml:space="preserve">, moralės </w:t>
      </w:r>
      <w:r w:rsidR="00564B66" w:rsidRPr="00C56FB8">
        <w:t>ir skaidrumo standartus, veik</w:t>
      </w:r>
      <w:r w:rsidR="00564B66">
        <w:t>ti</w:t>
      </w:r>
      <w:r w:rsidR="00564B66" w:rsidRPr="00C56FB8">
        <w:t xml:space="preserve"> Bendrovės ir Bendrovės akcinink</w:t>
      </w:r>
      <w:r w:rsidR="00564B66">
        <w:t>o (-</w:t>
      </w:r>
      <w:r w:rsidR="00564B66" w:rsidRPr="00C56FB8">
        <w:t>ų</w:t>
      </w:r>
      <w:r w:rsidR="00564B66">
        <w:t>)</w:t>
      </w:r>
      <w:r w:rsidR="00564B66" w:rsidRPr="00C56FB8">
        <w:t xml:space="preserve"> naudai</w:t>
      </w:r>
      <w:r w:rsidR="00564B66">
        <w:t xml:space="preserve">, </w:t>
      </w:r>
      <w:r w:rsidR="00564B66" w:rsidRPr="00C56FB8">
        <w:t>siek</w:t>
      </w:r>
      <w:r w:rsidR="00564B66">
        <w:t>ti</w:t>
      </w:r>
      <w:r w:rsidR="00564B66" w:rsidRPr="00C56FB8">
        <w:t xml:space="preserve"> Bendrovės įstatuose, Akcininko lūkesčių rašte bei kituose Bendrovės vidaus dokumentuose įtvirtintų Bendrovės veiklos tikslų</w:t>
      </w:r>
      <w:r w:rsidR="00564B66">
        <w:t xml:space="preserve">, </w:t>
      </w:r>
      <w:r w:rsidR="00564B66" w:rsidRPr="00EA2DA8">
        <w:rPr>
          <w:lang w:eastAsia="lt-LT"/>
        </w:rPr>
        <w:t>visais įmanomais būdais vengti viešųjų ir privačiųjų interesų konflikto.</w:t>
      </w:r>
    </w:p>
    <w:p w14:paraId="5713B070" w14:textId="2CEB58FC" w:rsidR="00D25D3E" w:rsidRDefault="00564B66" w:rsidP="00564B66">
      <w:pPr>
        <w:ind w:firstLine="794"/>
        <w:jc w:val="both"/>
      </w:pPr>
      <w:r w:rsidRPr="00D053EF">
        <w:t>Bendrovės kolegial</w:t>
      </w:r>
      <w:r>
        <w:t>ū</w:t>
      </w:r>
      <w:r w:rsidRPr="00D053EF">
        <w:t>s organa</w:t>
      </w:r>
      <w:r>
        <w:t xml:space="preserve">i </w:t>
      </w:r>
      <w:r w:rsidRPr="00D053EF">
        <w:t>turi rengti savo veiklos metin</w:t>
      </w:r>
      <w:r>
        <w:t>ę</w:t>
      </w:r>
      <w:r w:rsidRPr="00D053EF">
        <w:t xml:space="preserve"> ataskait</w:t>
      </w:r>
      <w:r>
        <w:t>ą</w:t>
      </w:r>
      <w:r w:rsidR="00E2789D">
        <w:t xml:space="preserve">. </w:t>
      </w:r>
      <w:r>
        <w:t>Bendrovės</w:t>
      </w:r>
      <w:r w:rsidR="00D61187">
        <w:t xml:space="preserve"> vadovas</w:t>
      </w:r>
      <w:bookmarkEnd w:id="1"/>
      <w:r w:rsidR="00D25D3E" w:rsidRPr="00D053EF">
        <w:t xml:space="preserve"> turi užtikrinti kokybišk</w:t>
      </w:r>
      <w:r w:rsidR="00194417">
        <w:t>ą</w:t>
      </w:r>
      <w:r w:rsidR="00D25D3E" w:rsidRPr="00D053EF">
        <w:t xml:space="preserve"> </w:t>
      </w:r>
      <w:r w:rsidR="00D25D3E">
        <w:t xml:space="preserve">metinės </w:t>
      </w:r>
      <w:r>
        <w:t>vadovybės</w:t>
      </w:r>
      <w:r w:rsidR="00D25D3E" w:rsidRPr="00D053EF">
        <w:t xml:space="preserve"> ataskaitos parengimą, atitinkantį </w:t>
      </w:r>
      <w:r w:rsidR="00D25D3E" w:rsidRPr="00D053EF">
        <w:rPr>
          <w:color w:val="000000"/>
        </w:rPr>
        <w:t>buhalterinę apskaitą ir finansinę atskaitomybę reglamentuojančių teisės aktų reikalavimus</w:t>
      </w:r>
      <w:r w:rsidR="00D25D3E" w:rsidRPr="00D053EF">
        <w:t>, Skaidrumo gairių nuostatas bei atsižvelgiant į gerosios valdysenos rekomendacijas.</w:t>
      </w:r>
      <w:r w:rsidR="00D25D3E">
        <w:t xml:space="preserve"> </w:t>
      </w:r>
    </w:p>
    <w:p w14:paraId="27A71B9B" w14:textId="77777777" w:rsidR="00325EFB" w:rsidRDefault="00325EFB" w:rsidP="0078596C">
      <w:pPr>
        <w:rPr>
          <w:caps/>
        </w:rPr>
      </w:pPr>
    </w:p>
    <w:p w14:paraId="113189DF" w14:textId="5059DEC4" w:rsidR="00E93F0E" w:rsidRDefault="00E93F0E" w:rsidP="00DF4CC5">
      <w:pPr>
        <w:jc w:val="center"/>
        <w:rPr>
          <w:b/>
          <w:caps/>
        </w:rPr>
      </w:pPr>
      <w:r w:rsidRPr="00DF4CC5">
        <w:rPr>
          <w:b/>
          <w:caps/>
        </w:rPr>
        <w:t>Nefinansinių lūkesčių vertinimo rodikliai</w:t>
      </w:r>
    </w:p>
    <w:tbl>
      <w:tblPr>
        <w:tblW w:w="9776" w:type="dxa"/>
        <w:jc w:val="center"/>
        <w:tblLook w:val="04A0" w:firstRow="1" w:lastRow="0" w:firstColumn="1" w:lastColumn="0" w:noHBand="0" w:noVBand="1"/>
      </w:tblPr>
      <w:tblGrid>
        <w:gridCol w:w="620"/>
        <w:gridCol w:w="2919"/>
        <w:gridCol w:w="1305"/>
        <w:gridCol w:w="1228"/>
        <w:gridCol w:w="1276"/>
        <w:gridCol w:w="1275"/>
        <w:gridCol w:w="1153"/>
      </w:tblGrid>
      <w:tr w:rsidR="008F5A96" w:rsidRPr="00D3406B" w14:paraId="332AC203" w14:textId="77777777" w:rsidTr="004A52D1">
        <w:trPr>
          <w:trHeight w:val="356"/>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54C733C5" w14:textId="77777777" w:rsidR="008F5A96" w:rsidRPr="00D3406B" w:rsidRDefault="008F5A96" w:rsidP="000717F7">
            <w:pPr>
              <w:jc w:val="center"/>
              <w:rPr>
                <w:b/>
                <w:bCs/>
                <w:color w:val="000000"/>
                <w:sz w:val="22"/>
                <w:szCs w:val="22"/>
              </w:rPr>
            </w:pPr>
            <w:r w:rsidRPr="00D3406B">
              <w:rPr>
                <w:b/>
                <w:bCs/>
                <w:color w:val="000000"/>
                <w:sz w:val="22"/>
                <w:szCs w:val="22"/>
              </w:rPr>
              <w:t>Eil. Nr.</w:t>
            </w:r>
          </w:p>
        </w:tc>
        <w:tc>
          <w:tcPr>
            <w:tcW w:w="2919" w:type="dxa"/>
            <w:vMerge w:val="restart"/>
            <w:tcBorders>
              <w:top w:val="single" w:sz="4" w:space="0" w:color="auto"/>
              <w:left w:val="single" w:sz="4" w:space="0" w:color="auto"/>
              <w:bottom w:val="single" w:sz="4" w:space="0" w:color="auto"/>
              <w:right w:val="single" w:sz="4" w:space="0" w:color="auto"/>
            </w:tcBorders>
            <w:noWrap/>
            <w:vAlign w:val="center"/>
            <w:hideMark/>
          </w:tcPr>
          <w:p w14:paraId="791A007A" w14:textId="77777777" w:rsidR="008F5A96" w:rsidRPr="00D3406B" w:rsidRDefault="008F5A96" w:rsidP="000717F7">
            <w:pPr>
              <w:jc w:val="center"/>
              <w:rPr>
                <w:b/>
                <w:bCs/>
                <w:color w:val="000000"/>
                <w:sz w:val="22"/>
                <w:szCs w:val="22"/>
              </w:rPr>
            </w:pPr>
            <w:r w:rsidRPr="00D3406B">
              <w:rPr>
                <w:b/>
                <w:bCs/>
                <w:color w:val="000000"/>
                <w:sz w:val="22"/>
                <w:szCs w:val="22"/>
              </w:rPr>
              <w:t>Siektini veiklos rodikliai</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75914872" w14:textId="77777777" w:rsidR="008F5A96" w:rsidRPr="00D3406B" w:rsidRDefault="008F5A96" w:rsidP="000717F7">
            <w:pPr>
              <w:jc w:val="center"/>
              <w:rPr>
                <w:b/>
                <w:bCs/>
                <w:color w:val="000000"/>
                <w:sz w:val="22"/>
                <w:szCs w:val="22"/>
              </w:rPr>
            </w:pPr>
            <w:r w:rsidRPr="00D3406B">
              <w:rPr>
                <w:b/>
                <w:bCs/>
                <w:color w:val="000000"/>
                <w:sz w:val="22"/>
                <w:szCs w:val="22"/>
              </w:rPr>
              <w:t xml:space="preserve">Matavimo vienetas </w:t>
            </w:r>
          </w:p>
        </w:tc>
        <w:tc>
          <w:tcPr>
            <w:tcW w:w="4932" w:type="dxa"/>
            <w:gridSpan w:val="4"/>
            <w:tcBorders>
              <w:top w:val="single" w:sz="4" w:space="0" w:color="auto"/>
              <w:left w:val="nil"/>
              <w:bottom w:val="single" w:sz="4" w:space="0" w:color="auto"/>
              <w:right w:val="single" w:sz="4" w:space="0" w:color="auto"/>
            </w:tcBorders>
            <w:vAlign w:val="center"/>
            <w:hideMark/>
          </w:tcPr>
          <w:p w14:paraId="61952EA1" w14:textId="77777777" w:rsidR="008F5A96" w:rsidRPr="00D3406B" w:rsidRDefault="008F5A96" w:rsidP="000717F7">
            <w:pPr>
              <w:jc w:val="center"/>
              <w:rPr>
                <w:b/>
                <w:bCs/>
                <w:color w:val="000000"/>
                <w:sz w:val="22"/>
                <w:szCs w:val="22"/>
              </w:rPr>
            </w:pPr>
            <w:r w:rsidRPr="00D3406B">
              <w:rPr>
                <w:b/>
                <w:bCs/>
                <w:color w:val="000000"/>
                <w:sz w:val="22"/>
                <w:szCs w:val="22"/>
              </w:rPr>
              <w:t>Siektinos rodiklių reikšmės</w:t>
            </w:r>
          </w:p>
        </w:tc>
      </w:tr>
      <w:tr w:rsidR="00564B66" w:rsidRPr="00D3406B" w14:paraId="203D718C" w14:textId="77777777" w:rsidTr="004A52D1">
        <w:trPr>
          <w:trHeight w:val="423"/>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A61B9AC" w14:textId="77777777" w:rsidR="00564B66" w:rsidRPr="00D3406B" w:rsidRDefault="00564B66" w:rsidP="000717F7">
            <w:pPr>
              <w:rPr>
                <w:b/>
                <w:bCs/>
                <w:color w:val="000000"/>
                <w:sz w:val="22"/>
                <w:szCs w:val="22"/>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621CA106" w14:textId="77777777" w:rsidR="00564B66" w:rsidRPr="00D3406B" w:rsidRDefault="00564B66" w:rsidP="000717F7">
            <w:pPr>
              <w:rPr>
                <w:b/>
                <w:bCs/>
                <w:color w:val="00000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F5A3D17" w14:textId="77777777" w:rsidR="00564B66" w:rsidRPr="00D3406B" w:rsidRDefault="00564B66" w:rsidP="000717F7">
            <w:pPr>
              <w:rPr>
                <w:b/>
                <w:bCs/>
                <w:color w:val="000000"/>
                <w:sz w:val="22"/>
                <w:szCs w:val="22"/>
              </w:rPr>
            </w:pPr>
          </w:p>
        </w:tc>
        <w:tc>
          <w:tcPr>
            <w:tcW w:w="1228" w:type="dxa"/>
            <w:tcBorders>
              <w:top w:val="nil"/>
              <w:left w:val="nil"/>
              <w:bottom w:val="single" w:sz="4" w:space="0" w:color="auto"/>
              <w:right w:val="single" w:sz="4" w:space="0" w:color="auto"/>
            </w:tcBorders>
            <w:vAlign w:val="center"/>
            <w:hideMark/>
          </w:tcPr>
          <w:p w14:paraId="43E69A5C" w14:textId="1F257810" w:rsidR="00564B66" w:rsidRPr="00D3406B" w:rsidRDefault="00564B66" w:rsidP="000717F7">
            <w:pPr>
              <w:jc w:val="center"/>
              <w:rPr>
                <w:b/>
                <w:bCs/>
                <w:color w:val="000000"/>
                <w:sz w:val="22"/>
                <w:szCs w:val="22"/>
              </w:rPr>
            </w:pPr>
            <w:r w:rsidRPr="00D3406B">
              <w:rPr>
                <w:b/>
                <w:bCs/>
                <w:color w:val="000000"/>
                <w:sz w:val="22"/>
                <w:szCs w:val="22"/>
              </w:rPr>
              <w:t>2026 m.</w:t>
            </w:r>
          </w:p>
        </w:tc>
        <w:tc>
          <w:tcPr>
            <w:tcW w:w="1276" w:type="dxa"/>
            <w:tcBorders>
              <w:top w:val="nil"/>
              <w:left w:val="nil"/>
              <w:bottom w:val="single" w:sz="4" w:space="0" w:color="auto"/>
              <w:right w:val="single" w:sz="4" w:space="0" w:color="auto"/>
            </w:tcBorders>
            <w:noWrap/>
            <w:vAlign w:val="center"/>
            <w:hideMark/>
          </w:tcPr>
          <w:p w14:paraId="00BC90C5" w14:textId="5380F33A" w:rsidR="00564B66" w:rsidRPr="00D3406B" w:rsidRDefault="00564B66" w:rsidP="000717F7">
            <w:pPr>
              <w:jc w:val="center"/>
              <w:rPr>
                <w:b/>
                <w:color w:val="000000"/>
                <w:sz w:val="22"/>
                <w:szCs w:val="22"/>
              </w:rPr>
            </w:pPr>
            <w:r w:rsidRPr="00D3406B">
              <w:rPr>
                <w:b/>
                <w:color w:val="000000"/>
                <w:sz w:val="22"/>
                <w:szCs w:val="22"/>
              </w:rPr>
              <w:t>2027 m.</w:t>
            </w:r>
          </w:p>
        </w:tc>
        <w:tc>
          <w:tcPr>
            <w:tcW w:w="1275" w:type="dxa"/>
            <w:tcBorders>
              <w:top w:val="nil"/>
              <w:left w:val="nil"/>
              <w:bottom w:val="single" w:sz="4" w:space="0" w:color="auto"/>
              <w:right w:val="single" w:sz="4" w:space="0" w:color="auto"/>
            </w:tcBorders>
            <w:noWrap/>
            <w:vAlign w:val="center"/>
            <w:hideMark/>
          </w:tcPr>
          <w:p w14:paraId="5D0A84C5" w14:textId="357525B2" w:rsidR="00564B66" w:rsidRPr="00D3406B" w:rsidRDefault="00564B66" w:rsidP="000717F7">
            <w:pPr>
              <w:jc w:val="center"/>
              <w:rPr>
                <w:b/>
                <w:color w:val="000000"/>
                <w:sz w:val="22"/>
                <w:szCs w:val="22"/>
              </w:rPr>
            </w:pPr>
            <w:r w:rsidRPr="00D3406B">
              <w:rPr>
                <w:b/>
                <w:color w:val="000000"/>
                <w:sz w:val="22"/>
                <w:szCs w:val="22"/>
              </w:rPr>
              <w:t>2028 m.</w:t>
            </w:r>
          </w:p>
        </w:tc>
        <w:tc>
          <w:tcPr>
            <w:tcW w:w="1153" w:type="dxa"/>
            <w:tcBorders>
              <w:top w:val="nil"/>
              <w:left w:val="nil"/>
              <w:bottom w:val="single" w:sz="4" w:space="0" w:color="auto"/>
              <w:right w:val="single" w:sz="4" w:space="0" w:color="auto"/>
            </w:tcBorders>
            <w:vAlign w:val="center"/>
          </w:tcPr>
          <w:p w14:paraId="12CEBD36" w14:textId="278575C8" w:rsidR="00564B66" w:rsidRPr="00D3406B" w:rsidRDefault="00564B66" w:rsidP="000717F7">
            <w:pPr>
              <w:jc w:val="center"/>
              <w:rPr>
                <w:b/>
                <w:color w:val="000000"/>
                <w:sz w:val="22"/>
                <w:szCs w:val="22"/>
              </w:rPr>
            </w:pPr>
            <w:r w:rsidRPr="00D3406B">
              <w:rPr>
                <w:b/>
                <w:color w:val="000000"/>
                <w:sz w:val="22"/>
                <w:szCs w:val="22"/>
              </w:rPr>
              <w:t xml:space="preserve">2029 m. </w:t>
            </w:r>
          </w:p>
        </w:tc>
      </w:tr>
      <w:tr w:rsidR="00564B66" w:rsidRPr="00D3406B" w14:paraId="12A02B6C" w14:textId="77777777" w:rsidTr="0003529B">
        <w:trPr>
          <w:trHeight w:val="839"/>
          <w:jc w:val="center"/>
        </w:trPr>
        <w:tc>
          <w:tcPr>
            <w:tcW w:w="620" w:type="dxa"/>
            <w:tcBorders>
              <w:top w:val="nil"/>
              <w:left w:val="single" w:sz="4" w:space="0" w:color="auto"/>
              <w:bottom w:val="single" w:sz="4" w:space="0" w:color="auto"/>
              <w:right w:val="single" w:sz="4" w:space="0" w:color="auto"/>
            </w:tcBorders>
            <w:noWrap/>
            <w:vAlign w:val="center"/>
            <w:hideMark/>
          </w:tcPr>
          <w:p w14:paraId="7039D2C9" w14:textId="77777777" w:rsidR="00564B66" w:rsidRPr="00D3406B" w:rsidRDefault="00564B66" w:rsidP="000717F7">
            <w:pPr>
              <w:jc w:val="center"/>
              <w:rPr>
                <w:color w:val="000000"/>
                <w:sz w:val="22"/>
                <w:szCs w:val="22"/>
              </w:rPr>
            </w:pPr>
            <w:r w:rsidRPr="00D3406B">
              <w:rPr>
                <w:color w:val="000000"/>
                <w:sz w:val="22"/>
                <w:szCs w:val="22"/>
              </w:rPr>
              <w:t>1.</w:t>
            </w:r>
          </w:p>
        </w:tc>
        <w:tc>
          <w:tcPr>
            <w:tcW w:w="2919" w:type="dxa"/>
            <w:tcBorders>
              <w:top w:val="nil"/>
              <w:left w:val="nil"/>
              <w:bottom w:val="single" w:sz="4" w:space="0" w:color="auto"/>
              <w:right w:val="single" w:sz="4" w:space="0" w:color="auto"/>
            </w:tcBorders>
            <w:noWrap/>
            <w:vAlign w:val="center"/>
          </w:tcPr>
          <w:p w14:paraId="75585B6F" w14:textId="7933238B" w:rsidR="00564B66" w:rsidRPr="00D3406B" w:rsidRDefault="00B360A0" w:rsidP="0003529B">
            <w:pPr>
              <w:rPr>
                <w:sz w:val="22"/>
                <w:szCs w:val="22"/>
                <w:lang w:eastAsia="lt-LT"/>
              </w:rPr>
            </w:pPr>
            <w:r w:rsidRPr="00D3406B">
              <w:rPr>
                <w:sz w:val="22"/>
                <w:szCs w:val="22"/>
                <w:lang w:eastAsia="lt-LT"/>
              </w:rPr>
              <w:t>Vandens nuostolių</w:t>
            </w:r>
            <w:r w:rsidR="004A52D1">
              <w:rPr>
                <w:sz w:val="22"/>
                <w:szCs w:val="22"/>
                <w:lang w:eastAsia="lt-LT"/>
              </w:rPr>
              <w:t xml:space="preserve"> </w:t>
            </w:r>
            <w:r w:rsidRPr="00D3406B">
              <w:rPr>
                <w:sz w:val="22"/>
                <w:szCs w:val="22"/>
                <w:lang w:eastAsia="lt-LT"/>
              </w:rPr>
              <w:t>mažinimas</w:t>
            </w:r>
            <w:r w:rsidR="004A52D1">
              <w:rPr>
                <w:sz w:val="22"/>
                <w:szCs w:val="22"/>
                <w:lang w:eastAsia="lt-LT"/>
              </w:rPr>
              <w:t xml:space="preserve"> tinkluose</w:t>
            </w:r>
          </w:p>
        </w:tc>
        <w:tc>
          <w:tcPr>
            <w:tcW w:w="1305" w:type="dxa"/>
            <w:tcBorders>
              <w:top w:val="nil"/>
              <w:left w:val="nil"/>
              <w:bottom w:val="single" w:sz="4" w:space="0" w:color="auto"/>
              <w:right w:val="single" w:sz="4" w:space="0" w:color="auto"/>
            </w:tcBorders>
            <w:noWrap/>
            <w:vAlign w:val="center"/>
          </w:tcPr>
          <w:p w14:paraId="59B89940" w14:textId="2950ADDB" w:rsidR="00564B66" w:rsidRPr="00D3406B" w:rsidRDefault="00B360A0" w:rsidP="000717F7">
            <w:pPr>
              <w:jc w:val="center"/>
              <w:rPr>
                <w:sz w:val="22"/>
                <w:szCs w:val="22"/>
                <w:lang w:eastAsia="lt-LT"/>
              </w:rPr>
            </w:pPr>
            <w:r w:rsidRPr="00265AFA">
              <w:rPr>
                <w:sz w:val="20"/>
                <w:szCs w:val="20"/>
                <w:lang w:eastAsia="lt-LT"/>
              </w:rPr>
              <w:t>Proc.</w:t>
            </w:r>
          </w:p>
        </w:tc>
        <w:tc>
          <w:tcPr>
            <w:tcW w:w="1228" w:type="dxa"/>
            <w:tcBorders>
              <w:top w:val="nil"/>
              <w:left w:val="nil"/>
              <w:bottom w:val="single" w:sz="4" w:space="0" w:color="auto"/>
              <w:right w:val="single" w:sz="4" w:space="0" w:color="auto"/>
            </w:tcBorders>
            <w:vAlign w:val="center"/>
          </w:tcPr>
          <w:p w14:paraId="19DC03B2" w14:textId="0C9EE8D9" w:rsidR="00564B66" w:rsidRPr="00D3406B" w:rsidRDefault="004A52D1" w:rsidP="000717F7">
            <w:pPr>
              <w:jc w:val="center"/>
              <w:rPr>
                <w:color w:val="000000"/>
                <w:sz w:val="22"/>
                <w:szCs w:val="22"/>
                <w:lang w:eastAsia="lt-LT"/>
              </w:rPr>
            </w:pPr>
            <w:r>
              <w:rPr>
                <w:color w:val="000000"/>
                <w:sz w:val="22"/>
                <w:szCs w:val="22"/>
                <w:lang w:eastAsia="lt-LT"/>
              </w:rPr>
              <w:t>≤14</w:t>
            </w:r>
          </w:p>
        </w:tc>
        <w:tc>
          <w:tcPr>
            <w:tcW w:w="1276" w:type="dxa"/>
            <w:tcBorders>
              <w:top w:val="nil"/>
              <w:left w:val="nil"/>
              <w:bottom w:val="single" w:sz="4" w:space="0" w:color="auto"/>
              <w:right w:val="single" w:sz="4" w:space="0" w:color="auto"/>
            </w:tcBorders>
            <w:vAlign w:val="center"/>
          </w:tcPr>
          <w:p w14:paraId="2886762B" w14:textId="47578704" w:rsidR="00564B66" w:rsidRPr="00D3406B" w:rsidRDefault="004A52D1" w:rsidP="000717F7">
            <w:pPr>
              <w:jc w:val="center"/>
              <w:rPr>
                <w:color w:val="000000"/>
                <w:sz w:val="22"/>
                <w:szCs w:val="22"/>
                <w:lang w:eastAsia="lt-LT"/>
              </w:rPr>
            </w:pPr>
            <w:r>
              <w:rPr>
                <w:color w:val="000000"/>
                <w:sz w:val="22"/>
                <w:szCs w:val="22"/>
                <w:lang w:eastAsia="lt-LT"/>
              </w:rPr>
              <w:t>≤13</w:t>
            </w:r>
          </w:p>
        </w:tc>
        <w:tc>
          <w:tcPr>
            <w:tcW w:w="1275" w:type="dxa"/>
            <w:tcBorders>
              <w:top w:val="nil"/>
              <w:left w:val="nil"/>
              <w:bottom w:val="single" w:sz="4" w:space="0" w:color="auto"/>
              <w:right w:val="single" w:sz="4" w:space="0" w:color="auto"/>
            </w:tcBorders>
            <w:vAlign w:val="center"/>
          </w:tcPr>
          <w:p w14:paraId="4970136E" w14:textId="03E36CCD" w:rsidR="00564B66" w:rsidRPr="00D3406B" w:rsidRDefault="004A52D1" w:rsidP="000717F7">
            <w:pPr>
              <w:jc w:val="center"/>
              <w:rPr>
                <w:color w:val="000000"/>
                <w:sz w:val="22"/>
                <w:szCs w:val="22"/>
                <w:lang w:eastAsia="lt-LT"/>
              </w:rPr>
            </w:pPr>
            <w:r>
              <w:rPr>
                <w:color w:val="000000"/>
                <w:sz w:val="22"/>
                <w:szCs w:val="22"/>
                <w:lang w:eastAsia="lt-LT"/>
              </w:rPr>
              <w:t>≤12</w:t>
            </w:r>
          </w:p>
        </w:tc>
        <w:tc>
          <w:tcPr>
            <w:tcW w:w="1153" w:type="dxa"/>
            <w:tcBorders>
              <w:top w:val="nil"/>
              <w:left w:val="nil"/>
              <w:bottom w:val="single" w:sz="4" w:space="0" w:color="auto"/>
              <w:right w:val="single" w:sz="4" w:space="0" w:color="auto"/>
            </w:tcBorders>
            <w:vAlign w:val="center"/>
          </w:tcPr>
          <w:p w14:paraId="50601F5E" w14:textId="46D1A314" w:rsidR="00564B66" w:rsidRPr="00D3406B" w:rsidRDefault="004A52D1" w:rsidP="000717F7">
            <w:pPr>
              <w:jc w:val="center"/>
              <w:rPr>
                <w:sz w:val="22"/>
                <w:szCs w:val="22"/>
                <w:lang w:eastAsia="lt-LT"/>
              </w:rPr>
            </w:pPr>
            <w:r>
              <w:rPr>
                <w:sz w:val="22"/>
                <w:szCs w:val="22"/>
                <w:lang w:eastAsia="lt-LT"/>
              </w:rPr>
              <w:t>≤12</w:t>
            </w:r>
          </w:p>
        </w:tc>
      </w:tr>
      <w:tr w:rsidR="00B360A0" w:rsidRPr="00D3406B" w14:paraId="0FC674F0" w14:textId="77777777" w:rsidTr="0003529B">
        <w:trPr>
          <w:trHeight w:val="840"/>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5AE92A5" w14:textId="77777777" w:rsidR="00B360A0" w:rsidRPr="00D3406B" w:rsidRDefault="00B360A0" w:rsidP="00B360A0">
            <w:pPr>
              <w:jc w:val="center"/>
              <w:rPr>
                <w:color w:val="000000"/>
                <w:sz w:val="22"/>
                <w:szCs w:val="22"/>
              </w:rPr>
            </w:pPr>
            <w:r w:rsidRPr="00D3406B">
              <w:rPr>
                <w:color w:val="000000"/>
                <w:sz w:val="22"/>
                <w:szCs w:val="22"/>
              </w:rPr>
              <w:lastRenderedPageBreak/>
              <w:t>2.</w:t>
            </w:r>
          </w:p>
        </w:tc>
        <w:tc>
          <w:tcPr>
            <w:tcW w:w="2919" w:type="dxa"/>
            <w:tcBorders>
              <w:top w:val="single" w:sz="4" w:space="0" w:color="auto"/>
              <w:left w:val="nil"/>
              <w:bottom w:val="single" w:sz="4" w:space="0" w:color="auto"/>
              <w:right w:val="single" w:sz="4" w:space="0" w:color="auto"/>
            </w:tcBorders>
            <w:noWrap/>
            <w:vAlign w:val="center"/>
          </w:tcPr>
          <w:p w14:paraId="353C9790" w14:textId="6557BCC2" w:rsidR="00B360A0" w:rsidRPr="00D3406B" w:rsidRDefault="004A52D1" w:rsidP="0003529B">
            <w:pPr>
              <w:rPr>
                <w:sz w:val="22"/>
                <w:szCs w:val="22"/>
                <w:lang w:eastAsia="lt-LT"/>
              </w:rPr>
            </w:pPr>
            <w:r>
              <w:rPr>
                <w:color w:val="000000"/>
                <w:sz w:val="22"/>
                <w:szCs w:val="22"/>
                <w:lang w:eastAsia="lt-LT" w:bidi="lt-LT"/>
              </w:rPr>
              <w:t>Nuotekų infiltracijos mažinimas</w:t>
            </w:r>
          </w:p>
        </w:tc>
        <w:tc>
          <w:tcPr>
            <w:tcW w:w="1305" w:type="dxa"/>
            <w:tcBorders>
              <w:top w:val="single" w:sz="4" w:space="0" w:color="auto"/>
              <w:left w:val="nil"/>
              <w:bottom w:val="single" w:sz="4" w:space="0" w:color="auto"/>
              <w:right w:val="single" w:sz="4" w:space="0" w:color="auto"/>
            </w:tcBorders>
            <w:noWrap/>
            <w:vAlign w:val="center"/>
          </w:tcPr>
          <w:p w14:paraId="708F3E0F" w14:textId="7FE9E4A0" w:rsidR="00B360A0" w:rsidRPr="00265AFA" w:rsidRDefault="004A52D1" w:rsidP="00B360A0">
            <w:pPr>
              <w:jc w:val="center"/>
              <w:rPr>
                <w:sz w:val="20"/>
                <w:szCs w:val="20"/>
                <w:lang w:eastAsia="lt-LT"/>
              </w:rPr>
            </w:pPr>
            <w:r>
              <w:rPr>
                <w:color w:val="000000"/>
                <w:sz w:val="20"/>
                <w:szCs w:val="20"/>
                <w:lang w:eastAsia="lt-LT" w:bidi="lt-LT"/>
              </w:rPr>
              <w:t>Proc.</w:t>
            </w:r>
          </w:p>
        </w:tc>
        <w:tc>
          <w:tcPr>
            <w:tcW w:w="1228" w:type="dxa"/>
            <w:tcBorders>
              <w:top w:val="single" w:sz="4" w:space="0" w:color="auto"/>
              <w:left w:val="nil"/>
              <w:bottom w:val="single" w:sz="4" w:space="0" w:color="auto"/>
              <w:right w:val="single" w:sz="4" w:space="0" w:color="auto"/>
            </w:tcBorders>
            <w:vAlign w:val="center"/>
          </w:tcPr>
          <w:p w14:paraId="424CC1FB" w14:textId="736A0F5A" w:rsidR="00B360A0" w:rsidRPr="00D3406B" w:rsidRDefault="004A52D1" w:rsidP="00B360A0">
            <w:pPr>
              <w:jc w:val="center"/>
              <w:rPr>
                <w:sz w:val="22"/>
                <w:szCs w:val="22"/>
                <w:lang w:eastAsia="lt-LT"/>
              </w:rPr>
            </w:pPr>
            <w:r>
              <w:rPr>
                <w:sz w:val="22"/>
                <w:szCs w:val="22"/>
                <w:lang w:eastAsia="lt-LT"/>
              </w:rPr>
              <w:t>≤58</w:t>
            </w:r>
          </w:p>
        </w:tc>
        <w:tc>
          <w:tcPr>
            <w:tcW w:w="1276" w:type="dxa"/>
            <w:tcBorders>
              <w:top w:val="single" w:sz="4" w:space="0" w:color="auto"/>
              <w:left w:val="nil"/>
              <w:bottom w:val="single" w:sz="4" w:space="0" w:color="auto"/>
              <w:right w:val="single" w:sz="4" w:space="0" w:color="auto"/>
            </w:tcBorders>
            <w:vAlign w:val="center"/>
          </w:tcPr>
          <w:p w14:paraId="15BA8FD4" w14:textId="5D1A8219" w:rsidR="00B360A0" w:rsidRPr="00D3406B" w:rsidRDefault="004A52D1" w:rsidP="00B360A0">
            <w:pPr>
              <w:jc w:val="center"/>
              <w:rPr>
                <w:sz w:val="22"/>
                <w:szCs w:val="22"/>
                <w:lang w:eastAsia="lt-LT"/>
              </w:rPr>
            </w:pPr>
            <w:r>
              <w:rPr>
                <w:sz w:val="22"/>
                <w:szCs w:val="22"/>
                <w:lang w:eastAsia="lt-LT"/>
              </w:rPr>
              <w:t>≤57</w:t>
            </w:r>
          </w:p>
        </w:tc>
        <w:tc>
          <w:tcPr>
            <w:tcW w:w="1275" w:type="dxa"/>
            <w:tcBorders>
              <w:top w:val="single" w:sz="4" w:space="0" w:color="auto"/>
              <w:left w:val="nil"/>
              <w:bottom w:val="single" w:sz="4" w:space="0" w:color="auto"/>
              <w:right w:val="single" w:sz="4" w:space="0" w:color="auto"/>
            </w:tcBorders>
            <w:vAlign w:val="center"/>
          </w:tcPr>
          <w:p w14:paraId="312C8318" w14:textId="5CFDE833" w:rsidR="00B360A0" w:rsidRPr="00D3406B" w:rsidRDefault="004A52D1" w:rsidP="00B360A0">
            <w:pPr>
              <w:jc w:val="center"/>
              <w:rPr>
                <w:sz w:val="22"/>
                <w:szCs w:val="22"/>
                <w:lang w:eastAsia="lt-LT"/>
              </w:rPr>
            </w:pPr>
            <w:r>
              <w:rPr>
                <w:sz w:val="22"/>
                <w:szCs w:val="22"/>
                <w:lang w:eastAsia="lt-LT"/>
              </w:rPr>
              <w:t>≤56</w:t>
            </w:r>
          </w:p>
        </w:tc>
        <w:tc>
          <w:tcPr>
            <w:tcW w:w="1153" w:type="dxa"/>
            <w:tcBorders>
              <w:top w:val="single" w:sz="4" w:space="0" w:color="auto"/>
              <w:left w:val="nil"/>
              <w:bottom w:val="single" w:sz="4" w:space="0" w:color="auto"/>
              <w:right w:val="single" w:sz="4" w:space="0" w:color="auto"/>
            </w:tcBorders>
            <w:vAlign w:val="center"/>
          </w:tcPr>
          <w:p w14:paraId="16B7445E" w14:textId="13C1D4AE" w:rsidR="00B360A0" w:rsidRPr="00D3406B" w:rsidRDefault="004A52D1" w:rsidP="00B360A0">
            <w:pPr>
              <w:jc w:val="center"/>
              <w:rPr>
                <w:sz w:val="22"/>
                <w:szCs w:val="22"/>
                <w:lang w:eastAsia="lt-LT"/>
              </w:rPr>
            </w:pPr>
            <w:r>
              <w:rPr>
                <w:sz w:val="22"/>
                <w:szCs w:val="22"/>
                <w:lang w:eastAsia="lt-LT"/>
              </w:rPr>
              <w:t>≤55</w:t>
            </w:r>
          </w:p>
        </w:tc>
      </w:tr>
      <w:tr w:rsidR="00B360A0" w:rsidRPr="00D3406B" w14:paraId="59ECF09F" w14:textId="77777777" w:rsidTr="0003529B">
        <w:trPr>
          <w:trHeight w:val="839"/>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41A6FC69" w14:textId="08DC70DD" w:rsidR="00B360A0" w:rsidRPr="00D3406B" w:rsidRDefault="00B360A0" w:rsidP="00B360A0">
            <w:pPr>
              <w:jc w:val="center"/>
              <w:rPr>
                <w:color w:val="000000"/>
                <w:sz w:val="22"/>
                <w:szCs w:val="22"/>
              </w:rPr>
            </w:pPr>
            <w:r w:rsidRPr="00D3406B">
              <w:rPr>
                <w:color w:val="000000"/>
                <w:sz w:val="22"/>
                <w:szCs w:val="22"/>
              </w:rPr>
              <w:t>3.</w:t>
            </w:r>
          </w:p>
        </w:tc>
        <w:tc>
          <w:tcPr>
            <w:tcW w:w="2919" w:type="dxa"/>
            <w:tcBorders>
              <w:top w:val="single" w:sz="4" w:space="0" w:color="auto"/>
              <w:left w:val="nil"/>
              <w:bottom w:val="single" w:sz="4" w:space="0" w:color="auto"/>
              <w:right w:val="single" w:sz="4" w:space="0" w:color="auto"/>
            </w:tcBorders>
            <w:noWrap/>
            <w:vAlign w:val="center"/>
          </w:tcPr>
          <w:p w14:paraId="66A3CD2E" w14:textId="77777777" w:rsidR="00B360A0" w:rsidRDefault="004A52D1" w:rsidP="0003529B">
            <w:pPr>
              <w:pStyle w:val="BodyText"/>
              <w:shd w:val="clear" w:color="auto" w:fill="FFFFFF"/>
              <w:spacing w:before="0" w:beforeAutospacing="0" w:after="0" w:afterAutospacing="0"/>
              <w:rPr>
                <w:color w:val="000000"/>
                <w:sz w:val="22"/>
                <w:szCs w:val="22"/>
                <w:lang w:bidi="lt-LT"/>
              </w:rPr>
            </w:pPr>
            <w:r>
              <w:rPr>
                <w:color w:val="000000"/>
                <w:sz w:val="22"/>
                <w:szCs w:val="22"/>
                <w:lang w:bidi="lt-LT"/>
              </w:rPr>
              <w:t>Užtikrinti tiekiamo geriamojo vandens kokybės rodiklius</w:t>
            </w:r>
            <w:r w:rsidRPr="004A52D1">
              <w:rPr>
                <w:color w:val="000000"/>
                <w:sz w:val="22"/>
                <w:szCs w:val="22"/>
                <w:vertAlign w:val="superscript"/>
                <w:lang w:bidi="lt-LT"/>
              </w:rPr>
              <w:t>1</w:t>
            </w:r>
          </w:p>
          <w:p w14:paraId="3E2E2F19" w14:textId="67B86626" w:rsidR="00AC66A6" w:rsidRPr="00AC66A6" w:rsidRDefault="00AC66A6" w:rsidP="0003529B">
            <w:pPr>
              <w:pStyle w:val="BodyText"/>
              <w:shd w:val="clear" w:color="auto" w:fill="FFFFFF"/>
              <w:spacing w:before="0" w:beforeAutospacing="0" w:after="0" w:afterAutospacing="0"/>
              <w:rPr>
                <w:sz w:val="22"/>
                <w:szCs w:val="22"/>
              </w:rPr>
            </w:pPr>
          </w:p>
        </w:tc>
        <w:tc>
          <w:tcPr>
            <w:tcW w:w="1305" w:type="dxa"/>
            <w:tcBorders>
              <w:top w:val="single" w:sz="4" w:space="0" w:color="auto"/>
              <w:left w:val="nil"/>
              <w:bottom w:val="single" w:sz="4" w:space="0" w:color="auto"/>
              <w:right w:val="single" w:sz="4" w:space="0" w:color="auto"/>
            </w:tcBorders>
            <w:noWrap/>
            <w:vAlign w:val="center"/>
          </w:tcPr>
          <w:p w14:paraId="0CD19B97" w14:textId="0E08DD1F" w:rsidR="00B360A0" w:rsidRPr="00265AFA" w:rsidRDefault="004A52D1" w:rsidP="00B360A0">
            <w:pPr>
              <w:jc w:val="center"/>
              <w:rPr>
                <w:sz w:val="20"/>
                <w:szCs w:val="20"/>
                <w:lang w:eastAsia="lt-LT"/>
              </w:rPr>
            </w:pPr>
            <w:r>
              <w:rPr>
                <w:color w:val="000000"/>
                <w:sz w:val="20"/>
                <w:szCs w:val="20"/>
                <w:lang w:eastAsia="lt-LT" w:bidi="lt-LT"/>
              </w:rPr>
              <w:t>Vnt.</w:t>
            </w:r>
          </w:p>
        </w:tc>
        <w:tc>
          <w:tcPr>
            <w:tcW w:w="1228" w:type="dxa"/>
            <w:tcBorders>
              <w:top w:val="single" w:sz="4" w:space="0" w:color="auto"/>
              <w:left w:val="nil"/>
              <w:bottom w:val="single" w:sz="4" w:space="0" w:color="auto"/>
              <w:right w:val="single" w:sz="4" w:space="0" w:color="auto"/>
            </w:tcBorders>
            <w:vAlign w:val="center"/>
          </w:tcPr>
          <w:p w14:paraId="604AAA99" w14:textId="6233CE6A" w:rsidR="00086C79" w:rsidRPr="00C3237B" w:rsidRDefault="00086C79" w:rsidP="00B360A0">
            <w:pPr>
              <w:jc w:val="center"/>
              <w:rPr>
                <w:lang w:eastAsia="lt-LT"/>
              </w:rPr>
            </w:pPr>
            <w:r w:rsidRPr="00E33ECE">
              <w:rPr>
                <w:sz w:val="22"/>
                <w:szCs w:val="22"/>
                <w:lang w:eastAsia="lt-LT"/>
              </w:rPr>
              <w:t>28</w:t>
            </w:r>
          </w:p>
        </w:tc>
        <w:tc>
          <w:tcPr>
            <w:tcW w:w="1276" w:type="dxa"/>
            <w:tcBorders>
              <w:top w:val="single" w:sz="4" w:space="0" w:color="auto"/>
              <w:left w:val="nil"/>
              <w:bottom w:val="single" w:sz="4" w:space="0" w:color="auto"/>
              <w:right w:val="single" w:sz="4" w:space="0" w:color="auto"/>
            </w:tcBorders>
            <w:vAlign w:val="center"/>
          </w:tcPr>
          <w:p w14:paraId="2B7F9902" w14:textId="553FFBC3" w:rsidR="00086C79" w:rsidRPr="00C3237B" w:rsidRDefault="00086C79" w:rsidP="00B360A0">
            <w:pPr>
              <w:jc w:val="center"/>
              <w:rPr>
                <w:sz w:val="22"/>
                <w:szCs w:val="22"/>
                <w:lang w:eastAsia="lt-LT"/>
              </w:rPr>
            </w:pPr>
            <w:r>
              <w:rPr>
                <w:sz w:val="22"/>
                <w:szCs w:val="22"/>
                <w:lang w:eastAsia="lt-LT"/>
              </w:rPr>
              <w:t>36</w:t>
            </w:r>
          </w:p>
        </w:tc>
        <w:tc>
          <w:tcPr>
            <w:tcW w:w="1275" w:type="dxa"/>
            <w:tcBorders>
              <w:top w:val="single" w:sz="4" w:space="0" w:color="auto"/>
              <w:left w:val="nil"/>
              <w:bottom w:val="single" w:sz="4" w:space="0" w:color="auto"/>
              <w:right w:val="single" w:sz="4" w:space="0" w:color="auto"/>
            </w:tcBorders>
            <w:vAlign w:val="center"/>
          </w:tcPr>
          <w:p w14:paraId="591DAB01" w14:textId="558EF0CA" w:rsidR="00086C79" w:rsidRPr="00D3406B" w:rsidRDefault="00086C79" w:rsidP="00B360A0">
            <w:pPr>
              <w:jc w:val="center"/>
              <w:rPr>
                <w:sz w:val="22"/>
                <w:szCs w:val="22"/>
                <w:lang w:eastAsia="lt-LT"/>
              </w:rPr>
            </w:pPr>
            <w:r>
              <w:rPr>
                <w:sz w:val="22"/>
                <w:szCs w:val="22"/>
                <w:lang w:eastAsia="lt-LT"/>
              </w:rPr>
              <w:t>39</w:t>
            </w:r>
          </w:p>
        </w:tc>
        <w:tc>
          <w:tcPr>
            <w:tcW w:w="1153" w:type="dxa"/>
            <w:tcBorders>
              <w:top w:val="single" w:sz="4" w:space="0" w:color="auto"/>
              <w:left w:val="nil"/>
              <w:bottom w:val="single" w:sz="4" w:space="0" w:color="auto"/>
              <w:right w:val="single" w:sz="4" w:space="0" w:color="auto"/>
            </w:tcBorders>
            <w:vAlign w:val="center"/>
          </w:tcPr>
          <w:p w14:paraId="550C74E2" w14:textId="0C769B9E" w:rsidR="00B360A0" w:rsidRPr="00D3406B" w:rsidRDefault="00AC0F5F" w:rsidP="00B360A0">
            <w:pPr>
              <w:jc w:val="center"/>
              <w:rPr>
                <w:sz w:val="22"/>
                <w:szCs w:val="22"/>
                <w:lang w:eastAsia="lt-LT"/>
              </w:rPr>
            </w:pPr>
            <w:r>
              <w:rPr>
                <w:sz w:val="22"/>
                <w:szCs w:val="22"/>
                <w:lang w:eastAsia="lt-LT"/>
              </w:rPr>
              <w:t>39</w:t>
            </w:r>
          </w:p>
        </w:tc>
      </w:tr>
      <w:tr w:rsidR="004A52D1" w:rsidRPr="00D3406B" w14:paraId="0A7C3BC4" w14:textId="77777777" w:rsidTr="0003529B">
        <w:trPr>
          <w:trHeight w:val="839"/>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158A162B" w14:textId="0CD2396B" w:rsidR="004A52D1" w:rsidRPr="00D3406B" w:rsidRDefault="004A52D1" w:rsidP="00B360A0">
            <w:pPr>
              <w:jc w:val="center"/>
              <w:rPr>
                <w:color w:val="000000"/>
                <w:sz w:val="22"/>
                <w:szCs w:val="22"/>
              </w:rPr>
            </w:pPr>
            <w:r w:rsidRPr="00D3406B">
              <w:rPr>
                <w:color w:val="000000"/>
                <w:sz w:val="22"/>
                <w:szCs w:val="22"/>
              </w:rPr>
              <w:t>4.</w:t>
            </w:r>
          </w:p>
        </w:tc>
        <w:tc>
          <w:tcPr>
            <w:tcW w:w="2919" w:type="dxa"/>
            <w:tcBorders>
              <w:top w:val="single" w:sz="4" w:space="0" w:color="auto"/>
              <w:left w:val="nil"/>
              <w:bottom w:val="single" w:sz="4" w:space="0" w:color="auto"/>
              <w:right w:val="single" w:sz="4" w:space="0" w:color="auto"/>
            </w:tcBorders>
            <w:noWrap/>
            <w:vAlign w:val="center"/>
          </w:tcPr>
          <w:p w14:paraId="6D8133BA" w14:textId="794A0042" w:rsidR="004A52D1" w:rsidRPr="00D3406B" w:rsidRDefault="004A52D1" w:rsidP="0003529B">
            <w:pPr>
              <w:pStyle w:val="BodyText"/>
              <w:shd w:val="clear" w:color="auto" w:fill="FFFFFF"/>
              <w:spacing w:before="0" w:beforeAutospacing="0" w:after="0" w:afterAutospacing="0"/>
              <w:rPr>
                <w:sz w:val="22"/>
                <w:szCs w:val="22"/>
              </w:rPr>
            </w:pPr>
            <w:r>
              <w:rPr>
                <w:color w:val="000000"/>
                <w:sz w:val="22"/>
                <w:szCs w:val="22"/>
                <w:lang w:bidi="en-US"/>
              </w:rPr>
              <w:t>V</w:t>
            </w:r>
            <w:r w:rsidRPr="00D3406B">
              <w:rPr>
                <w:color w:val="000000"/>
                <w:sz w:val="22"/>
                <w:szCs w:val="22"/>
                <w:lang w:eastAsia="en-US" w:bidi="en-US"/>
              </w:rPr>
              <w:t xml:space="preserve">andens tiekimo </w:t>
            </w:r>
            <w:r w:rsidRPr="00D3406B">
              <w:rPr>
                <w:color w:val="000000"/>
                <w:sz w:val="22"/>
                <w:szCs w:val="22"/>
                <w:lang w:bidi="lt-LT"/>
              </w:rPr>
              <w:t>paslaugų prieinamum</w:t>
            </w:r>
            <w:r>
              <w:rPr>
                <w:color w:val="000000"/>
                <w:sz w:val="22"/>
                <w:szCs w:val="22"/>
                <w:lang w:bidi="lt-LT"/>
              </w:rPr>
              <w:t>o didinimas, sudarant galimybę prisijungti prie centralizuotų vandentiekio tinklų</w:t>
            </w:r>
          </w:p>
        </w:tc>
        <w:tc>
          <w:tcPr>
            <w:tcW w:w="1305" w:type="dxa"/>
            <w:tcBorders>
              <w:top w:val="single" w:sz="4" w:space="0" w:color="auto"/>
              <w:left w:val="nil"/>
              <w:bottom w:val="single" w:sz="4" w:space="0" w:color="auto"/>
              <w:right w:val="single" w:sz="4" w:space="0" w:color="auto"/>
            </w:tcBorders>
            <w:noWrap/>
            <w:vAlign w:val="bottom"/>
          </w:tcPr>
          <w:p w14:paraId="10AA6B0C" w14:textId="291C12C1" w:rsidR="004A52D1" w:rsidRPr="00265AFA" w:rsidRDefault="004A52D1" w:rsidP="00B360A0">
            <w:pPr>
              <w:jc w:val="center"/>
              <w:rPr>
                <w:sz w:val="20"/>
                <w:szCs w:val="20"/>
              </w:rPr>
            </w:pPr>
            <w:r w:rsidRPr="00265AFA">
              <w:rPr>
                <w:color w:val="000000"/>
                <w:sz w:val="20"/>
                <w:szCs w:val="20"/>
                <w:lang w:eastAsia="lt-LT" w:bidi="lt-LT"/>
              </w:rPr>
              <w:t>vnt., naujai prijungtų vartotojų sk., kuriems centralizuotai tiekiamas geriamasis vanduo</w:t>
            </w:r>
          </w:p>
        </w:tc>
        <w:tc>
          <w:tcPr>
            <w:tcW w:w="1228" w:type="dxa"/>
            <w:tcBorders>
              <w:top w:val="single" w:sz="4" w:space="0" w:color="auto"/>
              <w:left w:val="nil"/>
              <w:bottom w:val="single" w:sz="4" w:space="0" w:color="auto"/>
              <w:right w:val="single" w:sz="4" w:space="0" w:color="auto"/>
            </w:tcBorders>
            <w:vAlign w:val="center"/>
          </w:tcPr>
          <w:p w14:paraId="74D9643A" w14:textId="4E3D9DDE" w:rsidR="004A52D1" w:rsidRPr="00D3406B" w:rsidRDefault="00575F94" w:rsidP="00B360A0">
            <w:pPr>
              <w:jc w:val="center"/>
              <w:rPr>
                <w:sz w:val="22"/>
                <w:szCs w:val="22"/>
                <w:lang w:eastAsia="lt-LT"/>
              </w:rPr>
            </w:pPr>
            <w:r>
              <w:rPr>
                <w:sz w:val="22"/>
                <w:szCs w:val="22"/>
                <w:lang w:eastAsia="lt-LT"/>
              </w:rPr>
              <w:t>≥50</w:t>
            </w:r>
          </w:p>
        </w:tc>
        <w:tc>
          <w:tcPr>
            <w:tcW w:w="1276" w:type="dxa"/>
            <w:tcBorders>
              <w:top w:val="single" w:sz="4" w:space="0" w:color="auto"/>
              <w:left w:val="nil"/>
              <w:bottom w:val="single" w:sz="4" w:space="0" w:color="auto"/>
              <w:right w:val="single" w:sz="4" w:space="0" w:color="auto"/>
            </w:tcBorders>
            <w:vAlign w:val="center"/>
          </w:tcPr>
          <w:p w14:paraId="52E7001A" w14:textId="40E06129" w:rsidR="004A52D1" w:rsidRPr="00D3406B" w:rsidRDefault="00575F94" w:rsidP="00B360A0">
            <w:pPr>
              <w:jc w:val="center"/>
              <w:rPr>
                <w:sz w:val="22"/>
                <w:szCs w:val="22"/>
                <w:lang w:eastAsia="lt-LT"/>
              </w:rPr>
            </w:pPr>
            <w:r>
              <w:rPr>
                <w:sz w:val="22"/>
                <w:szCs w:val="22"/>
                <w:lang w:eastAsia="lt-LT"/>
              </w:rPr>
              <w:t>≥50</w:t>
            </w:r>
          </w:p>
        </w:tc>
        <w:tc>
          <w:tcPr>
            <w:tcW w:w="1275" w:type="dxa"/>
            <w:tcBorders>
              <w:top w:val="single" w:sz="4" w:space="0" w:color="auto"/>
              <w:left w:val="nil"/>
              <w:bottom w:val="single" w:sz="4" w:space="0" w:color="auto"/>
              <w:right w:val="single" w:sz="4" w:space="0" w:color="auto"/>
            </w:tcBorders>
            <w:vAlign w:val="center"/>
          </w:tcPr>
          <w:p w14:paraId="02FBC92E" w14:textId="1BF27774" w:rsidR="004A52D1" w:rsidRPr="00D3406B" w:rsidRDefault="00575F94" w:rsidP="00B360A0">
            <w:pPr>
              <w:jc w:val="center"/>
              <w:rPr>
                <w:sz w:val="22"/>
                <w:szCs w:val="22"/>
                <w:lang w:eastAsia="lt-LT"/>
              </w:rPr>
            </w:pPr>
            <w:r>
              <w:rPr>
                <w:sz w:val="22"/>
                <w:szCs w:val="22"/>
                <w:lang w:eastAsia="lt-LT"/>
              </w:rPr>
              <w:t>≥50</w:t>
            </w:r>
          </w:p>
        </w:tc>
        <w:tc>
          <w:tcPr>
            <w:tcW w:w="1153" w:type="dxa"/>
            <w:tcBorders>
              <w:top w:val="single" w:sz="4" w:space="0" w:color="auto"/>
              <w:left w:val="nil"/>
              <w:bottom w:val="single" w:sz="4" w:space="0" w:color="auto"/>
              <w:right w:val="single" w:sz="4" w:space="0" w:color="auto"/>
            </w:tcBorders>
            <w:vAlign w:val="center"/>
          </w:tcPr>
          <w:p w14:paraId="10619420" w14:textId="2B530D94" w:rsidR="004A52D1" w:rsidRPr="00D3406B" w:rsidRDefault="00575F94" w:rsidP="00B360A0">
            <w:pPr>
              <w:jc w:val="center"/>
              <w:rPr>
                <w:sz w:val="22"/>
                <w:szCs w:val="22"/>
                <w:lang w:eastAsia="lt-LT"/>
              </w:rPr>
            </w:pPr>
            <w:r>
              <w:rPr>
                <w:sz w:val="22"/>
                <w:szCs w:val="22"/>
                <w:lang w:eastAsia="lt-LT"/>
              </w:rPr>
              <w:t>≥50</w:t>
            </w:r>
          </w:p>
        </w:tc>
      </w:tr>
      <w:tr w:rsidR="004A52D1" w:rsidRPr="00D3406B" w14:paraId="16649A20" w14:textId="77777777" w:rsidTr="0003529B">
        <w:trPr>
          <w:trHeight w:val="839"/>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0B4DF979" w14:textId="1D1C7FE5" w:rsidR="004A52D1" w:rsidRPr="00D3406B" w:rsidRDefault="004A52D1" w:rsidP="00B360A0">
            <w:pPr>
              <w:jc w:val="center"/>
              <w:rPr>
                <w:color w:val="000000"/>
                <w:sz w:val="22"/>
                <w:szCs w:val="22"/>
              </w:rPr>
            </w:pPr>
            <w:r w:rsidRPr="00D3406B">
              <w:rPr>
                <w:color w:val="000000"/>
                <w:sz w:val="22"/>
                <w:szCs w:val="22"/>
              </w:rPr>
              <w:t>5.</w:t>
            </w:r>
          </w:p>
        </w:tc>
        <w:tc>
          <w:tcPr>
            <w:tcW w:w="2919" w:type="dxa"/>
            <w:tcBorders>
              <w:top w:val="single" w:sz="4" w:space="0" w:color="auto"/>
              <w:left w:val="nil"/>
              <w:bottom w:val="single" w:sz="4" w:space="0" w:color="auto"/>
              <w:right w:val="single" w:sz="4" w:space="0" w:color="auto"/>
            </w:tcBorders>
            <w:noWrap/>
            <w:vAlign w:val="center"/>
          </w:tcPr>
          <w:p w14:paraId="49685885" w14:textId="67FD6D13" w:rsidR="004A52D1" w:rsidRPr="00D3406B" w:rsidRDefault="004A52D1" w:rsidP="0003529B">
            <w:pPr>
              <w:pStyle w:val="BodyText"/>
              <w:shd w:val="clear" w:color="auto" w:fill="FFFFFF"/>
              <w:spacing w:before="0" w:beforeAutospacing="0" w:after="0" w:afterAutospacing="0"/>
              <w:rPr>
                <w:sz w:val="22"/>
                <w:szCs w:val="22"/>
              </w:rPr>
            </w:pPr>
            <w:r>
              <w:rPr>
                <w:color w:val="000000"/>
                <w:sz w:val="22"/>
                <w:szCs w:val="22"/>
                <w:lang w:bidi="lt-LT"/>
              </w:rPr>
              <w:t>Nuotekų surinkimo</w:t>
            </w:r>
            <w:r w:rsidRPr="004A52D1">
              <w:rPr>
                <w:color w:val="000000"/>
                <w:sz w:val="22"/>
                <w:szCs w:val="22"/>
                <w:lang w:bidi="lt-LT"/>
              </w:rPr>
              <w:t xml:space="preserve"> paslaugų prieinamumo didinimas, sudarant galimybę prisijungti prie centralizuotų </w:t>
            </w:r>
            <w:r>
              <w:rPr>
                <w:color w:val="000000"/>
                <w:sz w:val="22"/>
                <w:szCs w:val="22"/>
                <w:lang w:bidi="lt-LT"/>
              </w:rPr>
              <w:t>nuotekų</w:t>
            </w:r>
            <w:r w:rsidRPr="004A52D1">
              <w:rPr>
                <w:color w:val="000000"/>
                <w:sz w:val="22"/>
                <w:szCs w:val="22"/>
                <w:lang w:bidi="lt-LT"/>
              </w:rPr>
              <w:t xml:space="preserve"> tinklų</w:t>
            </w:r>
          </w:p>
        </w:tc>
        <w:tc>
          <w:tcPr>
            <w:tcW w:w="1305" w:type="dxa"/>
            <w:tcBorders>
              <w:top w:val="single" w:sz="4" w:space="0" w:color="auto"/>
              <w:left w:val="nil"/>
              <w:bottom w:val="single" w:sz="4" w:space="0" w:color="auto"/>
              <w:right w:val="single" w:sz="4" w:space="0" w:color="auto"/>
            </w:tcBorders>
            <w:noWrap/>
          </w:tcPr>
          <w:p w14:paraId="4318BDAF" w14:textId="721E5FF9" w:rsidR="004A52D1" w:rsidRPr="00265AFA" w:rsidRDefault="004A52D1" w:rsidP="00D3406B">
            <w:pPr>
              <w:pStyle w:val="Other0"/>
              <w:shd w:val="clear" w:color="auto" w:fill="auto"/>
              <w:tabs>
                <w:tab w:val="left" w:pos="1066"/>
              </w:tabs>
              <w:ind w:firstLine="0"/>
              <w:jc w:val="center"/>
              <w:rPr>
                <w:sz w:val="20"/>
                <w:szCs w:val="20"/>
              </w:rPr>
            </w:pPr>
            <w:r w:rsidRPr="00265AFA">
              <w:rPr>
                <w:color w:val="000000"/>
                <w:sz w:val="20"/>
                <w:szCs w:val="20"/>
                <w:lang w:eastAsia="lt-LT" w:bidi="lt-LT"/>
              </w:rPr>
              <w:t>vnt., naujai prijungtų vartotojų sk., kuriems centralizuotai surenkamos nuotekos</w:t>
            </w:r>
          </w:p>
        </w:tc>
        <w:tc>
          <w:tcPr>
            <w:tcW w:w="1228" w:type="dxa"/>
            <w:tcBorders>
              <w:top w:val="single" w:sz="4" w:space="0" w:color="auto"/>
              <w:left w:val="nil"/>
              <w:bottom w:val="single" w:sz="4" w:space="0" w:color="auto"/>
              <w:right w:val="single" w:sz="4" w:space="0" w:color="auto"/>
            </w:tcBorders>
            <w:vAlign w:val="center"/>
          </w:tcPr>
          <w:p w14:paraId="2731B479" w14:textId="2CEA6334" w:rsidR="004A52D1" w:rsidRPr="00D3406B" w:rsidRDefault="00575F94" w:rsidP="00B360A0">
            <w:pPr>
              <w:jc w:val="center"/>
              <w:rPr>
                <w:sz w:val="22"/>
                <w:szCs w:val="22"/>
                <w:lang w:eastAsia="lt-LT"/>
              </w:rPr>
            </w:pPr>
            <w:r>
              <w:rPr>
                <w:sz w:val="22"/>
                <w:szCs w:val="22"/>
                <w:lang w:eastAsia="lt-LT"/>
              </w:rPr>
              <w:t>≥50</w:t>
            </w:r>
          </w:p>
        </w:tc>
        <w:tc>
          <w:tcPr>
            <w:tcW w:w="1276" w:type="dxa"/>
            <w:tcBorders>
              <w:top w:val="single" w:sz="4" w:space="0" w:color="auto"/>
              <w:left w:val="nil"/>
              <w:bottom w:val="single" w:sz="4" w:space="0" w:color="auto"/>
              <w:right w:val="single" w:sz="4" w:space="0" w:color="auto"/>
            </w:tcBorders>
            <w:vAlign w:val="center"/>
          </w:tcPr>
          <w:p w14:paraId="38E54DE4" w14:textId="2D4D500C" w:rsidR="004A52D1" w:rsidRPr="00D3406B" w:rsidRDefault="00575F94" w:rsidP="00B360A0">
            <w:pPr>
              <w:jc w:val="center"/>
              <w:rPr>
                <w:sz w:val="22"/>
                <w:szCs w:val="22"/>
                <w:lang w:eastAsia="lt-LT"/>
              </w:rPr>
            </w:pPr>
            <w:r>
              <w:rPr>
                <w:sz w:val="22"/>
                <w:szCs w:val="22"/>
                <w:lang w:eastAsia="lt-LT"/>
              </w:rPr>
              <w:t>≥50</w:t>
            </w:r>
          </w:p>
        </w:tc>
        <w:tc>
          <w:tcPr>
            <w:tcW w:w="1275" w:type="dxa"/>
            <w:tcBorders>
              <w:top w:val="single" w:sz="4" w:space="0" w:color="auto"/>
              <w:left w:val="nil"/>
              <w:bottom w:val="single" w:sz="4" w:space="0" w:color="auto"/>
              <w:right w:val="single" w:sz="4" w:space="0" w:color="auto"/>
            </w:tcBorders>
            <w:vAlign w:val="center"/>
          </w:tcPr>
          <w:p w14:paraId="4FE9E5B0" w14:textId="70D47F73" w:rsidR="004A52D1" w:rsidRPr="00D3406B" w:rsidRDefault="00575F94" w:rsidP="00B360A0">
            <w:pPr>
              <w:jc w:val="center"/>
              <w:rPr>
                <w:sz w:val="22"/>
                <w:szCs w:val="22"/>
                <w:lang w:eastAsia="lt-LT"/>
              </w:rPr>
            </w:pPr>
            <w:r>
              <w:rPr>
                <w:sz w:val="22"/>
                <w:szCs w:val="22"/>
                <w:lang w:eastAsia="lt-LT"/>
              </w:rPr>
              <w:t>≥50</w:t>
            </w:r>
          </w:p>
        </w:tc>
        <w:tc>
          <w:tcPr>
            <w:tcW w:w="1153" w:type="dxa"/>
            <w:tcBorders>
              <w:top w:val="single" w:sz="4" w:space="0" w:color="auto"/>
              <w:left w:val="nil"/>
              <w:bottom w:val="single" w:sz="4" w:space="0" w:color="auto"/>
              <w:right w:val="single" w:sz="4" w:space="0" w:color="auto"/>
            </w:tcBorders>
            <w:vAlign w:val="center"/>
          </w:tcPr>
          <w:p w14:paraId="5B1D842D" w14:textId="27B6611B" w:rsidR="004A52D1" w:rsidRPr="00D3406B" w:rsidRDefault="00575F94" w:rsidP="00B360A0">
            <w:pPr>
              <w:jc w:val="center"/>
              <w:rPr>
                <w:sz w:val="22"/>
                <w:szCs w:val="22"/>
                <w:lang w:eastAsia="lt-LT"/>
              </w:rPr>
            </w:pPr>
            <w:r>
              <w:rPr>
                <w:sz w:val="22"/>
                <w:szCs w:val="22"/>
                <w:lang w:eastAsia="lt-LT"/>
              </w:rPr>
              <w:t>≥50</w:t>
            </w:r>
          </w:p>
        </w:tc>
      </w:tr>
    </w:tbl>
    <w:p w14:paraId="6EB85F0F" w14:textId="4671F7AB" w:rsidR="00575F94" w:rsidRPr="00C47CD3" w:rsidRDefault="00575F94" w:rsidP="00C47CD3">
      <w:pPr>
        <w:pStyle w:val="EndnoteText"/>
        <w:jc w:val="both"/>
      </w:pPr>
      <w:r w:rsidRPr="00C47CD3">
        <w:rPr>
          <w:vertAlign w:val="superscript"/>
        </w:rPr>
        <w:t>1</w:t>
      </w:r>
      <w:r w:rsidRPr="00C47CD3">
        <w:rPr>
          <w:b/>
          <w:bCs/>
        </w:rPr>
        <w:t xml:space="preserve"> </w:t>
      </w:r>
      <w:r w:rsidRPr="00C47CD3">
        <w:t>Vandenviečių skaičius, kurių tiekiamo vandens kokybė atitinka</w:t>
      </w:r>
      <w:r w:rsidR="00C47CD3" w:rsidRPr="00C47CD3">
        <w:t xml:space="preserve"> Lietuvos higienos normą HN 24:2023 „Geriamojo vandens saugos ir kokybės reikalavimai“</w:t>
      </w:r>
    </w:p>
    <w:p w14:paraId="5B06984B" w14:textId="3223A92D" w:rsidR="004A52D1" w:rsidRPr="00575F94" w:rsidRDefault="004A52D1" w:rsidP="00C33671">
      <w:pPr>
        <w:ind w:firstLine="1296"/>
        <w:rPr>
          <w:b/>
          <w:bCs/>
          <w:i/>
          <w:iCs/>
        </w:rPr>
      </w:pPr>
    </w:p>
    <w:p w14:paraId="22FE7CF0" w14:textId="004E685E" w:rsidR="005F0FC8" w:rsidRPr="005F0FC8" w:rsidRDefault="005F0FC8" w:rsidP="00C33671">
      <w:pPr>
        <w:ind w:firstLine="1296"/>
        <w:rPr>
          <w:b/>
          <w:bCs/>
        </w:rPr>
      </w:pPr>
      <w:r w:rsidRPr="005F0FC8">
        <w:rPr>
          <w:b/>
          <w:bCs/>
        </w:rPr>
        <w:t>Papildomos užduotys</w:t>
      </w:r>
    </w:p>
    <w:tbl>
      <w:tblPr>
        <w:tblStyle w:val="TableGrid"/>
        <w:tblW w:w="5077" w:type="pct"/>
        <w:jc w:val="center"/>
        <w:tblLook w:val="04A0" w:firstRow="1" w:lastRow="0" w:firstColumn="1" w:lastColumn="0" w:noHBand="0" w:noVBand="1"/>
      </w:tblPr>
      <w:tblGrid>
        <w:gridCol w:w="553"/>
        <w:gridCol w:w="3336"/>
        <w:gridCol w:w="3253"/>
        <w:gridCol w:w="2634"/>
      </w:tblGrid>
      <w:tr w:rsidR="005F0FC8" w:rsidRPr="005F0FC8" w14:paraId="7D450BE2" w14:textId="5F36FFBB" w:rsidTr="0003529B">
        <w:trPr>
          <w:trHeight w:val="407"/>
          <w:jc w:val="center"/>
        </w:trPr>
        <w:tc>
          <w:tcPr>
            <w:tcW w:w="283" w:type="pct"/>
          </w:tcPr>
          <w:p w14:paraId="18B857E7" w14:textId="77777777" w:rsidR="005F0FC8" w:rsidRPr="005F0FC8" w:rsidRDefault="005F0FC8" w:rsidP="00735BF6">
            <w:pPr>
              <w:jc w:val="center"/>
              <w:rPr>
                <w:b/>
                <w:bCs/>
                <w:sz w:val="22"/>
                <w:szCs w:val="22"/>
              </w:rPr>
            </w:pPr>
            <w:r w:rsidRPr="005F0FC8">
              <w:rPr>
                <w:b/>
                <w:bCs/>
                <w:sz w:val="22"/>
                <w:szCs w:val="22"/>
              </w:rPr>
              <w:t>Eil. Nr.</w:t>
            </w:r>
          </w:p>
        </w:tc>
        <w:tc>
          <w:tcPr>
            <w:tcW w:w="1706" w:type="pct"/>
            <w:vAlign w:val="center"/>
          </w:tcPr>
          <w:p w14:paraId="7310E679" w14:textId="31ED6E65" w:rsidR="005F0FC8" w:rsidRPr="005F0FC8" w:rsidRDefault="00E336A4" w:rsidP="0003529B">
            <w:pPr>
              <w:jc w:val="center"/>
              <w:rPr>
                <w:b/>
                <w:bCs/>
                <w:sz w:val="22"/>
                <w:szCs w:val="22"/>
              </w:rPr>
            </w:pPr>
            <w:r>
              <w:rPr>
                <w:b/>
                <w:bCs/>
                <w:sz w:val="22"/>
                <w:szCs w:val="22"/>
              </w:rPr>
              <w:t>Užduotis</w:t>
            </w:r>
          </w:p>
        </w:tc>
        <w:tc>
          <w:tcPr>
            <w:tcW w:w="1664" w:type="pct"/>
            <w:vAlign w:val="center"/>
          </w:tcPr>
          <w:p w14:paraId="6A669A94" w14:textId="77777777" w:rsidR="005F0FC8" w:rsidRPr="005F0FC8" w:rsidRDefault="005F0FC8" w:rsidP="00735BF6">
            <w:pPr>
              <w:jc w:val="center"/>
              <w:rPr>
                <w:b/>
                <w:bCs/>
                <w:sz w:val="22"/>
                <w:szCs w:val="22"/>
              </w:rPr>
            </w:pPr>
            <w:r w:rsidRPr="005F0FC8">
              <w:rPr>
                <w:b/>
                <w:bCs/>
                <w:sz w:val="22"/>
                <w:szCs w:val="22"/>
              </w:rPr>
              <w:t>Priemonė</w:t>
            </w:r>
          </w:p>
        </w:tc>
        <w:tc>
          <w:tcPr>
            <w:tcW w:w="1347" w:type="pct"/>
            <w:vAlign w:val="center"/>
          </w:tcPr>
          <w:p w14:paraId="5BFD9AE6" w14:textId="05C4BEFC" w:rsidR="005F0FC8" w:rsidRPr="005F0FC8" w:rsidRDefault="00E336A4" w:rsidP="00E336A4">
            <w:pPr>
              <w:jc w:val="center"/>
              <w:rPr>
                <w:b/>
                <w:bCs/>
                <w:sz w:val="22"/>
                <w:szCs w:val="22"/>
              </w:rPr>
            </w:pPr>
            <w:r>
              <w:rPr>
                <w:b/>
                <w:bCs/>
                <w:sz w:val="22"/>
                <w:szCs w:val="22"/>
              </w:rPr>
              <w:t>Įvykdymo terminas</w:t>
            </w:r>
          </w:p>
        </w:tc>
      </w:tr>
      <w:tr w:rsidR="00C03AE0" w:rsidRPr="005F0FC8" w14:paraId="13B02EA9" w14:textId="77777777" w:rsidTr="0003529B">
        <w:trPr>
          <w:trHeight w:val="407"/>
          <w:jc w:val="center"/>
        </w:trPr>
        <w:tc>
          <w:tcPr>
            <w:tcW w:w="283" w:type="pct"/>
            <w:vAlign w:val="center"/>
          </w:tcPr>
          <w:p w14:paraId="56A519A0" w14:textId="652DF57C" w:rsidR="00C03AE0" w:rsidRPr="005F0FC8" w:rsidRDefault="00C03AE0" w:rsidP="00C03AE0">
            <w:pPr>
              <w:jc w:val="center"/>
              <w:rPr>
                <w:b/>
                <w:bCs/>
                <w:sz w:val="22"/>
                <w:szCs w:val="22"/>
              </w:rPr>
            </w:pPr>
            <w:r>
              <w:rPr>
                <w:bCs/>
                <w:sz w:val="22"/>
                <w:szCs w:val="22"/>
              </w:rPr>
              <w:t>1</w:t>
            </w:r>
            <w:r w:rsidRPr="00837050">
              <w:rPr>
                <w:bCs/>
                <w:sz w:val="22"/>
                <w:szCs w:val="22"/>
              </w:rPr>
              <w:t>.</w:t>
            </w:r>
          </w:p>
        </w:tc>
        <w:tc>
          <w:tcPr>
            <w:tcW w:w="1706" w:type="pct"/>
            <w:vAlign w:val="center"/>
          </w:tcPr>
          <w:p w14:paraId="16D4E260" w14:textId="1A156680" w:rsidR="00AA72A9" w:rsidRPr="00265AFA" w:rsidRDefault="00265AFA" w:rsidP="0003529B">
            <w:pPr>
              <w:rPr>
                <w:sz w:val="22"/>
                <w:szCs w:val="22"/>
              </w:rPr>
            </w:pPr>
            <w:r w:rsidRPr="00265AFA">
              <w:rPr>
                <w:sz w:val="22"/>
                <w:szCs w:val="22"/>
              </w:rPr>
              <w:t>Užtikrinti saugos ir kokybės reikalavimus atitinkančio geriamojo vandens tiekimą</w:t>
            </w:r>
            <w:r>
              <w:rPr>
                <w:sz w:val="22"/>
                <w:szCs w:val="22"/>
              </w:rPr>
              <w:t xml:space="preserve"> Leliūnų, Vaineikių, </w:t>
            </w:r>
            <w:proofErr w:type="spellStart"/>
            <w:r>
              <w:rPr>
                <w:sz w:val="22"/>
                <w:szCs w:val="22"/>
              </w:rPr>
              <w:t>Rubulių</w:t>
            </w:r>
            <w:proofErr w:type="spellEnd"/>
            <w:r>
              <w:rPr>
                <w:sz w:val="22"/>
                <w:szCs w:val="22"/>
              </w:rPr>
              <w:t xml:space="preserve"> vandenvietėse</w:t>
            </w:r>
          </w:p>
        </w:tc>
        <w:tc>
          <w:tcPr>
            <w:tcW w:w="1664" w:type="pct"/>
            <w:vAlign w:val="center"/>
          </w:tcPr>
          <w:p w14:paraId="7FFD28C8" w14:textId="3F8CC757" w:rsidR="00C03AE0" w:rsidRPr="00265AFA" w:rsidRDefault="00265AFA" w:rsidP="0003529B">
            <w:pPr>
              <w:suppressAutoHyphens/>
              <w:jc w:val="center"/>
              <w:rPr>
                <w:sz w:val="22"/>
                <w:szCs w:val="22"/>
              </w:rPr>
            </w:pPr>
            <w:r w:rsidRPr="00265AFA">
              <w:rPr>
                <w:sz w:val="22"/>
                <w:szCs w:val="22"/>
              </w:rPr>
              <w:t>Įdiegiant filtravimo sistemas</w:t>
            </w:r>
          </w:p>
        </w:tc>
        <w:tc>
          <w:tcPr>
            <w:tcW w:w="1347" w:type="pct"/>
            <w:vAlign w:val="center"/>
          </w:tcPr>
          <w:p w14:paraId="2E126B6E" w14:textId="6503AC74" w:rsidR="00C03AE0" w:rsidRPr="00265AFA" w:rsidRDefault="00265AFA" w:rsidP="00C03AE0">
            <w:pPr>
              <w:jc w:val="center"/>
              <w:rPr>
                <w:sz w:val="22"/>
                <w:szCs w:val="22"/>
              </w:rPr>
            </w:pPr>
            <w:r w:rsidRPr="00265AFA">
              <w:rPr>
                <w:sz w:val="22"/>
                <w:szCs w:val="22"/>
              </w:rPr>
              <w:t>2026-</w:t>
            </w:r>
            <w:r>
              <w:rPr>
                <w:sz w:val="22"/>
                <w:szCs w:val="22"/>
              </w:rPr>
              <w:t>06</w:t>
            </w:r>
            <w:r w:rsidRPr="00265AFA">
              <w:rPr>
                <w:sz w:val="22"/>
                <w:szCs w:val="22"/>
              </w:rPr>
              <w:t>-</w:t>
            </w:r>
            <w:r>
              <w:rPr>
                <w:sz w:val="22"/>
                <w:szCs w:val="22"/>
              </w:rPr>
              <w:t>30</w:t>
            </w:r>
          </w:p>
        </w:tc>
      </w:tr>
      <w:tr w:rsidR="00C03AE0" w:rsidRPr="005F0FC8" w14:paraId="74EA1A20" w14:textId="77777777" w:rsidTr="0003529B">
        <w:trPr>
          <w:trHeight w:val="407"/>
          <w:jc w:val="center"/>
        </w:trPr>
        <w:tc>
          <w:tcPr>
            <w:tcW w:w="283" w:type="pct"/>
            <w:vAlign w:val="center"/>
          </w:tcPr>
          <w:p w14:paraId="7AEF75A7" w14:textId="034A4B9B" w:rsidR="00C03AE0" w:rsidRDefault="00C03AE0" w:rsidP="00C03AE0">
            <w:pPr>
              <w:jc w:val="center"/>
              <w:rPr>
                <w:bCs/>
                <w:sz w:val="22"/>
                <w:szCs w:val="22"/>
              </w:rPr>
            </w:pPr>
            <w:r>
              <w:rPr>
                <w:bCs/>
                <w:sz w:val="22"/>
                <w:szCs w:val="22"/>
              </w:rPr>
              <w:t>2</w:t>
            </w:r>
            <w:r w:rsidRPr="00837050">
              <w:rPr>
                <w:bCs/>
                <w:sz w:val="22"/>
                <w:szCs w:val="22"/>
              </w:rPr>
              <w:t>.</w:t>
            </w:r>
          </w:p>
        </w:tc>
        <w:tc>
          <w:tcPr>
            <w:tcW w:w="1706" w:type="pct"/>
            <w:vAlign w:val="center"/>
          </w:tcPr>
          <w:p w14:paraId="4F8181A7" w14:textId="4209EA5B" w:rsidR="00AA72A9" w:rsidRPr="00C03AE0" w:rsidRDefault="00265AFA" w:rsidP="0003529B">
            <w:pPr>
              <w:rPr>
                <w:sz w:val="22"/>
                <w:szCs w:val="22"/>
              </w:rPr>
            </w:pPr>
            <w:r w:rsidRPr="00265AFA">
              <w:rPr>
                <w:sz w:val="22"/>
                <w:szCs w:val="22"/>
              </w:rPr>
              <w:t>Užtikrinti saugos ir kokybės reikalavimus atitinkančio geriamojo vandens tiekimą</w:t>
            </w:r>
            <w:r>
              <w:rPr>
                <w:sz w:val="22"/>
                <w:szCs w:val="22"/>
              </w:rPr>
              <w:t xml:space="preserve"> </w:t>
            </w:r>
            <w:proofErr w:type="spellStart"/>
            <w:r>
              <w:rPr>
                <w:sz w:val="22"/>
                <w:szCs w:val="22"/>
              </w:rPr>
              <w:t>Pesčių</w:t>
            </w:r>
            <w:proofErr w:type="spellEnd"/>
            <w:r>
              <w:rPr>
                <w:sz w:val="22"/>
                <w:szCs w:val="22"/>
              </w:rPr>
              <w:t xml:space="preserve">, </w:t>
            </w:r>
            <w:proofErr w:type="spellStart"/>
            <w:r>
              <w:rPr>
                <w:sz w:val="22"/>
                <w:szCs w:val="22"/>
              </w:rPr>
              <w:t>Barzdžių</w:t>
            </w:r>
            <w:proofErr w:type="spellEnd"/>
            <w:r>
              <w:rPr>
                <w:sz w:val="22"/>
                <w:szCs w:val="22"/>
              </w:rPr>
              <w:t xml:space="preserve">, </w:t>
            </w:r>
            <w:proofErr w:type="spellStart"/>
            <w:r>
              <w:rPr>
                <w:sz w:val="22"/>
                <w:szCs w:val="22"/>
              </w:rPr>
              <w:t>Dauginčių</w:t>
            </w:r>
            <w:proofErr w:type="spellEnd"/>
            <w:r>
              <w:rPr>
                <w:sz w:val="22"/>
                <w:szCs w:val="22"/>
              </w:rPr>
              <w:t xml:space="preserve">, </w:t>
            </w:r>
            <w:proofErr w:type="spellStart"/>
            <w:r>
              <w:rPr>
                <w:sz w:val="22"/>
                <w:szCs w:val="22"/>
              </w:rPr>
              <w:t>Nasrėnų</w:t>
            </w:r>
            <w:proofErr w:type="spellEnd"/>
            <w:r>
              <w:rPr>
                <w:sz w:val="22"/>
                <w:szCs w:val="22"/>
              </w:rPr>
              <w:t xml:space="preserve">, </w:t>
            </w:r>
            <w:proofErr w:type="spellStart"/>
            <w:r>
              <w:rPr>
                <w:sz w:val="22"/>
                <w:szCs w:val="22"/>
              </w:rPr>
              <w:t>Žibininkų</w:t>
            </w:r>
            <w:proofErr w:type="spellEnd"/>
            <w:r>
              <w:rPr>
                <w:sz w:val="22"/>
                <w:szCs w:val="22"/>
              </w:rPr>
              <w:t xml:space="preserve">, Tolių, Tarvydų - </w:t>
            </w:r>
            <w:proofErr w:type="spellStart"/>
            <w:r>
              <w:rPr>
                <w:sz w:val="22"/>
                <w:szCs w:val="22"/>
              </w:rPr>
              <w:t>Dimitravo</w:t>
            </w:r>
            <w:proofErr w:type="spellEnd"/>
            <w:r>
              <w:rPr>
                <w:sz w:val="22"/>
                <w:szCs w:val="22"/>
              </w:rPr>
              <w:t xml:space="preserve">, </w:t>
            </w:r>
            <w:r w:rsidR="0048384D">
              <w:rPr>
                <w:sz w:val="22"/>
                <w:szCs w:val="22"/>
              </w:rPr>
              <w:t xml:space="preserve">Budrių, Plokščių, </w:t>
            </w:r>
            <w:proofErr w:type="spellStart"/>
            <w:r w:rsidR="0048384D">
              <w:rPr>
                <w:sz w:val="22"/>
                <w:szCs w:val="22"/>
              </w:rPr>
              <w:t>Pryšmančių</w:t>
            </w:r>
            <w:proofErr w:type="spellEnd"/>
            <w:r w:rsidR="0048384D">
              <w:rPr>
                <w:sz w:val="22"/>
                <w:szCs w:val="22"/>
              </w:rPr>
              <w:t xml:space="preserve"> </w:t>
            </w:r>
            <w:r>
              <w:rPr>
                <w:sz w:val="22"/>
                <w:szCs w:val="22"/>
              </w:rPr>
              <w:t>vandenvietėse</w:t>
            </w:r>
          </w:p>
        </w:tc>
        <w:tc>
          <w:tcPr>
            <w:tcW w:w="1664" w:type="pct"/>
            <w:vAlign w:val="center"/>
          </w:tcPr>
          <w:p w14:paraId="3657B26B" w14:textId="15955AE5" w:rsidR="00C03AE0" w:rsidRDefault="0048384D" w:rsidP="0003529B">
            <w:pPr>
              <w:suppressAutoHyphens/>
              <w:jc w:val="center"/>
              <w:rPr>
                <w:sz w:val="22"/>
                <w:szCs w:val="22"/>
              </w:rPr>
            </w:pPr>
            <w:r w:rsidRPr="00265AFA">
              <w:rPr>
                <w:sz w:val="22"/>
                <w:szCs w:val="22"/>
              </w:rPr>
              <w:t>Įdiegiant filtravimo sistemas</w:t>
            </w:r>
          </w:p>
        </w:tc>
        <w:tc>
          <w:tcPr>
            <w:tcW w:w="1347" w:type="pct"/>
            <w:vAlign w:val="center"/>
          </w:tcPr>
          <w:p w14:paraId="5D64890A" w14:textId="16920360" w:rsidR="00C03AE0" w:rsidRPr="0098679F" w:rsidRDefault="00265AFA" w:rsidP="00C03AE0">
            <w:pPr>
              <w:jc w:val="center"/>
              <w:rPr>
                <w:iCs/>
                <w:sz w:val="22"/>
                <w:szCs w:val="22"/>
              </w:rPr>
            </w:pPr>
            <w:r>
              <w:rPr>
                <w:iCs/>
                <w:sz w:val="22"/>
                <w:szCs w:val="22"/>
              </w:rPr>
              <w:t>2026-12-31</w:t>
            </w:r>
          </w:p>
        </w:tc>
      </w:tr>
      <w:tr w:rsidR="00D9713B" w:rsidRPr="005F0FC8" w14:paraId="29AF9098" w14:textId="77777777" w:rsidTr="0003529B">
        <w:trPr>
          <w:trHeight w:val="407"/>
          <w:jc w:val="center"/>
        </w:trPr>
        <w:tc>
          <w:tcPr>
            <w:tcW w:w="283" w:type="pct"/>
            <w:vAlign w:val="center"/>
          </w:tcPr>
          <w:p w14:paraId="09FCAB4A" w14:textId="36AB695D" w:rsidR="00D9713B" w:rsidRDefault="00D9713B" w:rsidP="00C03AE0">
            <w:pPr>
              <w:jc w:val="center"/>
              <w:rPr>
                <w:bCs/>
                <w:sz w:val="22"/>
                <w:szCs w:val="22"/>
              </w:rPr>
            </w:pPr>
            <w:r>
              <w:rPr>
                <w:bCs/>
                <w:sz w:val="22"/>
                <w:szCs w:val="22"/>
              </w:rPr>
              <w:t xml:space="preserve">3. </w:t>
            </w:r>
          </w:p>
        </w:tc>
        <w:tc>
          <w:tcPr>
            <w:tcW w:w="1706" w:type="pct"/>
            <w:vAlign w:val="center"/>
          </w:tcPr>
          <w:p w14:paraId="3D43F772" w14:textId="11708532" w:rsidR="00AA72A9" w:rsidRPr="00265AFA" w:rsidRDefault="00AA72A9" w:rsidP="0003529B">
            <w:pPr>
              <w:rPr>
                <w:sz w:val="22"/>
                <w:szCs w:val="22"/>
              </w:rPr>
            </w:pPr>
            <w:r>
              <w:rPr>
                <w:sz w:val="22"/>
                <w:szCs w:val="22"/>
              </w:rPr>
              <w:t xml:space="preserve">Perimti arba išpirkti </w:t>
            </w:r>
            <w:r w:rsidRPr="00AA72A9">
              <w:rPr>
                <w:sz w:val="22"/>
                <w:szCs w:val="22"/>
              </w:rPr>
              <w:t>geriamojo vandens tiekimo ir nuotekų tvarkymo infrastruktūrą</w:t>
            </w:r>
            <w:r>
              <w:rPr>
                <w:sz w:val="22"/>
                <w:szCs w:val="22"/>
              </w:rPr>
              <w:t xml:space="preserve">, reikalingą </w:t>
            </w:r>
            <w:r w:rsidRPr="00AA72A9">
              <w:rPr>
                <w:sz w:val="22"/>
                <w:szCs w:val="22"/>
              </w:rPr>
              <w:t>viešajam geriamojo vandens tiekimui ir nuotekų tvarkymui</w:t>
            </w:r>
          </w:p>
        </w:tc>
        <w:tc>
          <w:tcPr>
            <w:tcW w:w="1664" w:type="pct"/>
            <w:vAlign w:val="center"/>
          </w:tcPr>
          <w:p w14:paraId="5F6E1877" w14:textId="6CC43202" w:rsidR="00AA72A9" w:rsidRPr="00AA72A9" w:rsidRDefault="00AA72A9" w:rsidP="0003529B">
            <w:pPr>
              <w:jc w:val="center"/>
              <w:rPr>
                <w:sz w:val="22"/>
                <w:szCs w:val="22"/>
              </w:rPr>
            </w:pPr>
            <w:r w:rsidRPr="00AA72A9">
              <w:rPr>
                <w:sz w:val="22"/>
                <w:szCs w:val="22"/>
              </w:rPr>
              <w:t>Geriamojo vandens tiekimo ir nuotekų tvarkymo infrastruktūros objektų perėmimo arba išpirkimo tvarkos apraš</w:t>
            </w:r>
            <w:r>
              <w:rPr>
                <w:sz w:val="22"/>
                <w:szCs w:val="22"/>
              </w:rPr>
              <w:t>o nustatyta tvarka</w:t>
            </w:r>
          </w:p>
          <w:p w14:paraId="7378A7C7" w14:textId="77777777" w:rsidR="00D9713B" w:rsidRPr="00265AFA" w:rsidRDefault="00D9713B" w:rsidP="0003529B">
            <w:pPr>
              <w:suppressAutoHyphens/>
              <w:jc w:val="center"/>
              <w:rPr>
                <w:sz w:val="22"/>
                <w:szCs w:val="22"/>
              </w:rPr>
            </w:pPr>
          </w:p>
        </w:tc>
        <w:tc>
          <w:tcPr>
            <w:tcW w:w="1347" w:type="pct"/>
            <w:vAlign w:val="center"/>
          </w:tcPr>
          <w:p w14:paraId="76C9758D" w14:textId="0D049E46" w:rsidR="00D9713B" w:rsidRDefault="00AA72A9" w:rsidP="00C03AE0">
            <w:pPr>
              <w:jc w:val="center"/>
              <w:rPr>
                <w:iCs/>
                <w:sz w:val="22"/>
                <w:szCs w:val="22"/>
              </w:rPr>
            </w:pPr>
            <w:r>
              <w:rPr>
                <w:iCs/>
                <w:sz w:val="22"/>
                <w:szCs w:val="22"/>
              </w:rPr>
              <w:t>2027-12-31</w:t>
            </w:r>
          </w:p>
        </w:tc>
      </w:tr>
    </w:tbl>
    <w:p w14:paraId="1F45B02B" w14:textId="77777777" w:rsidR="00AA72A9" w:rsidRDefault="00AA72A9" w:rsidP="00E401A1">
      <w:pPr>
        <w:ind w:firstLine="794"/>
        <w:jc w:val="both"/>
        <w:rPr>
          <w:b/>
          <w:bCs/>
          <w:iCs/>
        </w:rPr>
      </w:pPr>
    </w:p>
    <w:p w14:paraId="7D7312FF" w14:textId="22317812" w:rsidR="00E93F0E" w:rsidRPr="00366A83" w:rsidRDefault="00E93F0E" w:rsidP="00E401A1">
      <w:pPr>
        <w:ind w:firstLine="794"/>
        <w:jc w:val="both"/>
        <w:rPr>
          <w:b/>
          <w:bCs/>
          <w:iCs/>
        </w:rPr>
      </w:pPr>
      <w:r w:rsidRPr="00366A83">
        <w:rPr>
          <w:b/>
          <w:bCs/>
          <w:iCs/>
        </w:rPr>
        <w:t>Atskaitomybės poreikiai</w:t>
      </w:r>
    </w:p>
    <w:p w14:paraId="20A93A56" w14:textId="77777777" w:rsidR="00E2789D" w:rsidRPr="001A5F43" w:rsidRDefault="00E2789D" w:rsidP="00E2789D">
      <w:pPr>
        <w:ind w:firstLine="794"/>
        <w:jc w:val="both"/>
        <w:rPr>
          <w:iCs/>
        </w:rPr>
      </w:pPr>
      <w:r w:rsidRPr="00366A83">
        <w:rPr>
          <w:iCs/>
        </w:rPr>
        <w:t xml:space="preserve">Bendrovės kolegialūs organai ir vadovas turėtų reguliariai palaikyti kontaktus su Akcininko vadovybe, periodiškai pristatyti atnaujintą Bendrovės strategiją, </w:t>
      </w:r>
      <w:bookmarkStart w:id="2" w:name="_Hlk88507526"/>
      <w:r w:rsidRPr="00D053EF">
        <w:t>savalaikiai bei išsamiai informuoti apie savo veiklą, vykdomus svarbiausius projektus, informaciją apie veiklos rezultatus</w:t>
      </w:r>
      <w:r w:rsidRPr="00D053EF">
        <w:rPr>
          <w:iCs/>
        </w:rPr>
        <w:t>. Kolegialūs organai turi pateikti metines savo veiklos ataskaitas, savo veiklos vertinimo išvada</w:t>
      </w:r>
      <w:r>
        <w:rPr>
          <w:iCs/>
        </w:rPr>
        <w:t xml:space="preserve">s, </w:t>
      </w:r>
      <w:r w:rsidRPr="00547A2F">
        <w:rPr>
          <w:iCs/>
        </w:rPr>
        <w:t>ateinančių metų savo veiklos plan</w:t>
      </w:r>
      <w:r>
        <w:rPr>
          <w:iCs/>
        </w:rPr>
        <w:t>us, posėdžių protokolus ar jų išrašus.</w:t>
      </w:r>
      <w:r w:rsidRPr="001A5F43">
        <w:rPr>
          <w:iCs/>
        </w:rPr>
        <w:t xml:space="preserve"> </w:t>
      </w:r>
    </w:p>
    <w:bookmarkEnd w:id="2"/>
    <w:p w14:paraId="172FAA4B" w14:textId="77777777" w:rsidR="00E2789D" w:rsidRDefault="00E2789D" w:rsidP="00E2789D">
      <w:pPr>
        <w:ind w:firstLine="794"/>
        <w:jc w:val="both"/>
        <w:rPr>
          <w:iCs/>
        </w:rPr>
      </w:pPr>
      <w:r w:rsidRPr="00366A83">
        <w:rPr>
          <w:iCs/>
        </w:rPr>
        <w:t>Akcininkas tikisi, kad vadovaujantis protingumo principu ir gerosios valdysenos praktika, Bendrovės kolegialūs organai ir vadovas pagal kompetenciją iš anksto informuos apie esminius Bendrovės sprendimus, susijusius su akcininko interesais:</w:t>
      </w:r>
    </w:p>
    <w:p w14:paraId="1AA4C9CD" w14:textId="77777777" w:rsidR="00E2789D" w:rsidRDefault="00E2789D" w:rsidP="00E2789D">
      <w:pPr>
        <w:ind w:firstLine="794"/>
        <w:jc w:val="both"/>
        <w:rPr>
          <w:iCs/>
        </w:rPr>
      </w:pPr>
      <w:r w:rsidRPr="003D35B1">
        <w:rPr>
          <w:iCs/>
          <w:sz w:val="18"/>
          <w:szCs w:val="18"/>
        </w:rPr>
        <w:t>●</w:t>
      </w:r>
      <w:r>
        <w:rPr>
          <w:iCs/>
        </w:rPr>
        <w:t xml:space="preserve"> kolegialių</w:t>
      </w:r>
      <w:r w:rsidRPr="003D35B1">
        <w:rPr>
          <w:iCs/>
        </w:rPr>
        <w:t xml:space="preserve"> organų </w:t>
      </w:r>
      <w:r>
        <w:rPr>
          <w:iCs/>
        </w:rPr>
        <w:t xml:space="preserve">narių </w:t>
      </w:r>
      <w:r w:rsidRPr="003D35B1">
        <w:rPr>
          <w:iCs/>
        </w:rPr>
        <w:t xml:space="preserve">ar vadovo pasikeitimas, </w:t>
      </w:r>
    </w:p>
    <w:p w14:paraId="3EDE8D0C"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 xml:space="preserve">potencialūs Bendrovės </w:t>
      </w:r>
      <w:r>
        <w:rPr>
          <w:iCs/>
        </w:rPr>
        <w:t>kolegialių</w:t>
      </w:r>
      <w:r w:rsidRPr="003D35B1">
        <w:rPr>
          <w:iCs/>
        </w:rPr>
        <w:t xml:space="preserve"> organų narių ir vadovybės interesų konfliktai,</w:t>
      </w:r>
    </w:p>
    <w:p w14:paraId="7AD5DB73" w14:textId="77777777" w:rsidR="00E2789D" w:rsidRDefault="00E2789D" w:rsidP="00E2789D">
      <w:pPr>
        <w:ind w:firstLine="794"/>
        <w:jc w:val="both"/>
        <w:rPr>
          <w:iCs/>
        </w:rPr>
      </w:pPr>
      <w:r w:rsidRPr="003D35B1">
        <w:rPr>
          <w:iCs/>
          <w:sz w:val="18"/>
          <w:szCs w:val="18"/>
        </w:rPr>
        <w:lastRenderedPageBreak/>
        <w:t>●</w:t>
      </w:r>
      <w:r>
        <w:rPr>
          <w:iCs/>
          <w:sz w:val="18"/>
          <w:szCs w:val="18"/>
        </w:rPr>
        <w:t xml:space="preserve"> </w:t>
      </w:r>
      <w:r w:rsidRPr="003D35B1">
        <w:rPr>
          <w:iCs/>
        </w:rPr>
        <w:t>potencialūs teisminiai ginčai,</w:t>
      </w:r>
    </w:p>
    <w:p w14:paraId="7950BFAA"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esminiai pokyčiai Bendrovės veikloje,</w:t>
      </w:r>
    </w:p>
    <w:p w14:paraId="29D5C463"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didelio masto darbuotojų atleidimai, reikšmingi struktūriniai pokyčiai,</w:t>
      </w:r>
    </w:p>
    <w:p w14:paraId="08DBC589"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galima žala visuomenei, gamtai, ekonomikai,</w:t>
      </w:r>
    </w:p>
    <w:p w14:paraId="7235DBC1"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spaudos pranešimai, dėl kurių gali prireikti Akcininko atstovų komentarų,</w:t>
      </w:r>
    </w:p>
    <w:p w14:paraId="173C63CA"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bet kokio masto korupcija ar politinė intervencija,</w:t>
      </w:r>
    </w:p>
    <w:p w14:paraId="02CD0CC9" w14:textId="77777777" w:rsidR="00E2789D" w:rsidRDefault="00E2789D" w:rsidP="00E2789D">
      <w:pPr>
        <w:ind w:firstLine="794"/>
        <w:jc w:val="both"/>
        <w:rPr>
          <w:iCs/>
        </w:rPr>
      </w:pPr>
      <w:r w:rsidRPr="003D35B1">
        <w:rPr>
          <w:iCs/>
          <w:sz w:val="18"/>
          <w:szCs w:val="18"/>
        </w:rPr>
        <w:t>●</w:t>
      </w:r>
      <w:r>
        <w:rPr>
          <w:iCs/>
          <w:sz w:val="18"/>
          <w:szCs w:val="18"/>
        </w:rPr>
        <w:t xml:space="preserve"> </w:t>
      </w:r>
      <w:r w:rsidRPr="003D35B1">
        <w:rPr>
          <w:iCs/>
        </w:rPr>
        <w:t>kitos esminės rizikos, keliančios grėsmę Bendrovės veiklos tęstinumui,</w:t>
      </w:r>
    </w:p>
    <w:p w14:paraId="0F702AAD" w14:textId="77777777" w:rsidR="00E2789D" w:rsidRDefault="00E2789D" w:rsidP="00E2789D">
      <w:pPr>
        <w:ind w:firstLine="794"/>
        <w:jc w:val="both"/>
      </w:pPr>
      <w:r w:rsidRPr="003D35B1">
        <w:rPr>
          <w:iCs/>
          <w:sz w:val="18"/>
          <w:szCs w:val="18"/>
        </w:rPr>
        <w:t>●</w:t>
      </w:r>
      <w:r>
        <w:rPr>
          <w:iCs/>
          <w:sz w:val="18"/>
          <w:szCs w:val="18"/>
        </w:rPr>
        <w:t xml:space="preserve"> </w:t>
      </w:r>
      <w:r w:rsidRPr="003D35B1">
        <w:rPr>
          <w:iCs/>
        </w:rPr>
        <w:t>kiti potencialiai su Akcininko interesais susiję svarbūs sprendimai.</w:t>
      </w:r>
    </w:p>
    <w:p w14:paraId="40B04F18" w14:textId="67538482" w:rsidR="007735E6" w:rsidRPr="0023695A" w:rsidRDefault="007735E6" w:rsidP="007735E6">
      <w:pPr>
        <w:ind w:firstLine="794"/>
        <w:jc w:val="both"/>
      </w:pPr>
      <w:r w:rsidRPr="0023695A">
        <w:t>Akcininko lūkesčių rašte nustatyti nefinansiniai ir finansiniai lūkesčiai turi tapti integralia</w:t>
      </w:r>
      <w:r>
        <w:t xml:space="preserve"> Bendrov</w:t>
      </w:r>
      <w:r w:rsidRPr="0023695A">
        <w:t>ės strateginio veiklos plano dalimi.</w:t>
      </w:r>
    </w:p>
    <w:p w14:paraId="46D7331F" w14:textId="5F73171D" w:rsidR="007735E6" w:rsidRDefault="007735E6" w:rsidP="007735E6">
      <w:pPr>
        <w:ind w:firstLine="794"/>
        <w:jc w:val="both"/>
      </w:pPr>
      <w:r w:rsidRPr="002C0B9D">
        <w:t xml:space="preserve">Akcininko lūkesčių įgyvendinimas, pasiektų tikslų atitiktis Bendrovei nustatytiems tikslams vertinamas </w:t>
      </w:r>
      <w:r>
        <w:t>Kretingos rajono</w:t>
      </w:r>
      <w:r w:rsidRPr="002C0B9D">
        <w:t xml:space="preserve"> savivaldybės</w:t>
      </w:r>
      <w:r>
        <w:t xml:space="preserve"> t</w:t>
      </w:r>
      <w:r w:rsidRPr="002C0B9D">
        <w:t xml:space="preserve">arybos </w:t>
      </w:r>
      <w:r>
        <w:t xml:space="preserve">ir mero </w:t>
      </w:r>
      <w:r w:rsidRPr="002C0B9D">
        <w:t>nustatyta tvarka.</w:t>
      </w:r>
      <w:r>
        <w:t xml:space="preserve"> </w:t>
      </w:r>
    </w:p>
    <w:p w14:paraId="34513A08" w14:textId="3CC6B4B1" w:rsidR="00B360A0" w:rsidRDefault="00B360A0" w:rsidP="00B360A0">
      <w:pPr>
        <w:spacing w:line="1" w:lineRule="exact"/>
      </w:pPr>
    </w:p>
    <w:p w14:paraId="531D9013" w14:textId="77777777" w:rsidR="00B360A0" w:rsidRDefault="00B360A0" w:rsidP="00E2789D">
      <w:pPr>
        <w:ind w:firstLine="794"/>
        <w:jc w:val="both"/>
      </w:pPr>
    </w:p>
    <w:p w14:paraId="34255AD1" w14:textId="39C3AC9B" w:rsidR="007A788F" w:rsidRDefault="007A788F" w:rsidP="007A788F">
      <w:pPr>
        <w:jc w:val="center"/>
      </w:pPr>
      <w:r>
        <w:t>______________________</w:t>
      </w:r>
    </w:p>
    <w:p w14:paraId="162C110F" w14:textId="77777777" w:rsidR="00B360A0" w:rsidRDefault="00B360A0" w:rsidP="007A788F">
      <w:pPr>
        <w:jc w:val="center"/>
      </w:pPr>
    </w:p>
    <w:sectPr w:rsidR="00B360A0" w:rsidSect="000E15EF">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598E" w14:textId="77777777" w:rsidR="00DD358E" w:rsidRDefault="00DD358E" w:rsidP="000E15EF">
      <w:r>
        <w:separator/>
      </w:r>
    </w:p>
  </w:endnote>
  <w:endnote w:type="continuationSeparator" w:id="0">
    <w:p w14:paraId="1EFE7F95" w14:textId="77777777" w:rsidR="00DD358E" w:rsidRDefault="00DD358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L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5ABB" w14:textId="77777777" w:rsidR="00DD358E" w:rsidRDefault="00DD358E" w:rsidP="000E15EF">
      <w:r>
        <w:separator/>
      </w:r>
    </w:p>
  </w:footnote>
  <w:footnote w:type="continuationSeparator" w:id="0">
    <w:p w14:paraId="3FCF1D27" w14:textId="77777777" w:rsidR="00DD358E" w:rsidRDefault="00DD358E"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94890"/>
      <w:docPartObj>
        <w:docPartGallery w:val="Page Numbers (Top of Page)"/>
        <w:docPartUnique/>
      </w:docPartObj>
    </w:sdtPr>
    <w:sdtContent>
      <w:p w14:paraId="76ABF440" w14:textId="77777777" w:rsidR="000E15EF" w:rsidRDefault="000E15EF">
        <w:pPr>
          <w:pStyle w:val="Header"/>
          <w:jc w:val="center"/>
        </w:pPr>
        <w:r>
          <w:fldChar w:fldCharType="begin"/>
        </w:r>
        <w:r>
          <w:instrText>PAGE   \* MERGEFORMAT</w:instrText>
        </w:r>
        <w:r>
          <w:fldChar w:fldCharType="separate"/>
        </w:r>
        <w:r w:rsidR="00056299">
          <w:rPr>
            <w:noProof/>
          </w:rPr>
          <w:t>3</w:t>
        </w:r>
        <w:r>
          <w:fldChar w:fldCharType="end"/>
        </w:r>
      </w:p>
    </w:sdtContent>
  </w:sdt>
  <w:p w14:paraId="3DC6336F" w14:textId="77777777" w:rsidR="000E15EF" w:rsidRDefault="000E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0B7A" w14:textId="16AD104A" w:rsidR="00B806B8" w:rsidRDefault="00B806B8">
    <w:pPr>
      <w:pStyle w:val="Header"/>
    </w:pPr>
    <w:r>
      <w:tab/>
    </w:r>
    <w:r>
      <w:tab/>
    </w:r>
  </w:p>
  <w:p w14:paraId="0856A467" w14:textId="6CD23A6F" w:rsidR="00B806B8" w:rsidRPr="00B806B8" w:rsidRDefault="00B806B8">
    <w:pPr>
      <w:pStyle w:val="Header"/>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EAB"/>
    <w:multiLevelType w:val="hybridMultilevel"/>
    <w:tmpl w:val="961A0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C663BB"/>
    <w:multiLevelType w:val="hybridMultilevel"/>
    <w:tmpl w:val="A9A6B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453315"/>
    <w:multiLevelType w:val="hybridMultilevel"/>
    <w:tmpl w:val="7E9A55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EB6347"/>
    <w:multiLevelType w:val="hybridMultilevel"/>
    <w:tmpl w:val="D59C770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53953666"/>
    <w:multiLevelType w:val="hybridMultilevel"/>
    <w:tmpl w:val="526C70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0169759">
    <w:abstractNumId w:val="1"/>
  </w:num>
  <w:num w:numId="2" w16cid:durableId="562719915">
    <w:abstractNumId w:val="0"/>
  </w:num>
  <w:num w:numId="3" w16cid:durableId="1313942697">
    <w:abstractNumId w:val="3"/>
  </w:num>
  <w:num w:numId="4" w16cid:durableId="1352533397">
    <w:abstractNumId w:val="4"/>
  </w:num>
  <w:num w:numId="5" w16cid:durableId="1854302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178F6"/>
    <w:rsid w:val="00020294"/>
    <w:rsid w:val="0003529B"/>
    <w:rsid w:val="00043FEC"/>
    <w:rsid w:val="00052BF6"/>
    <w:rsid w:val="00056299"/>
    <w:rsid w:val="00056889"/>
    <w:rsid w:val="0005773A"/>
    <w:rsid w:val="0006079E"/>
    <w:rsid w:val="0006561C"/>
    <w:rsid w:val="00071479"/>
    <w:rsid w:val="000809AC"/>
    <w:rsid w:val="000826FD"/>
    <w:rsid w:val="00082B77"/>
    <w:rsid w:val="00086C79"/>
    <w:rsid w:val="000A7803"/>
    <w:rsid w:val="000B1A72"/>
    <w:rsid w:val="000B1F49"/>
    <w:rsid w:val="000B3953"/>
    <w:rsid w:val="000B3C12"/>
    <w:rsid w:val="000E1593"/>
    <w:rsid w:val="000E15EF"/>
    <w:rsid w:val="000E16E0"/>
    <w:rsid w:val="0010778C"/>
    <w:rsid w:val="0012054E"/>
    <w:rsid w:val="00121982"/>
    <w:rsid w:val="00123A36"/>
    <w:rsid w:val="00134B9C"/>
    <w:rsid w:val="00137DD8"/>
    <w:rsid w:val="001449A6"/>
    <w:rsid w:val="001459C2"/>
    <w:rsid w:val="00163426"/>
    <w:rsid w:val="0017383B"/>
    <w:rsid w:val="00175709"/>
    <w:rsid w:val="00184E15"/>
    <w:rsid w:val="0019192A"/>
    <w:rsid w:val="00191DB2"/>
    <w:rsid w:val="00193659"/>
    <w:rsid w:val="00193F87"/>
    <w:rsid w:val="00194417"/>
    <w:rsid w:val="00197A09"/>
    <w:rsid w:val="001A19E4"/>
    <w:rsid w:val="001A3952"/>
    <w:rsid w:val="001A5F43"/>
    <w:rsid w:val="001B1551"/>
    <w:rsid w:val="001C2141"/>
    <w:rsid w:val="001D0A3A"/>
    <w:rsid w:val="001D3013"/>
    <w:rsid w:val="001D3FC8"/>
    <w:rsid w:val="001D6C48"/>
    <w:rsid w:val="001E21D9"/>
    <w:rsid w:val="001E4052"/>
    <w:rsid w:val="001F75EC"/>
    <w:rsid w:val="001F7807"/>
    <w:rsid w:val="00210856"/>
    <w:rsid w:val="00225CD0"/>
    <w:rsid w:val="00225DF0"/>
    <w:rsid w:val="00227B4A"/>
    <w:rsid w:val="00232B3C"/>
    <w:rsid w:val="0025127E"/>
    <w:rsid w:val="002534C7"/>
    <w:rsid w:val="0025716E"/>
    <w:rsid w:val="00262BE0"/>
    <w:rsid w:val="00264CA0"/>
    <w:rsid w:val="00265AFA"/>
    <w:rsid w:val="00272D1A"/>
    <w:rsid w:val="00273D8D"/>
    <w:rsid w:val="002756AF"/>
    <w:rsid w:val="0028169C"/>
    <w:rsid w:val="00290BE8"/>
    <w:rsid w:val="00291445"/>
    <w:rsid w:val="002A28C5"/>
    <w:rsid w:val="002B0536"/>
    <w:rsid w:val="002B0B2C"/>
    <w:rsid w:val="002C223A"/>
    <w:rsid w:val="002C4ACA"/>
    <w:rsid w:val="002C563F"/>
    <w:rsid w:val="002C5C8D"/>
    <w:rsid w:val="002C61F7"/>
    <w:rsid w:val="002C6D36"/>
    <w:rsid w:val="002C6EE1"/>
    <w:rsid w:val="002D19C4"/>
    <w:rsid w:val="002E3EF0"/>
    <w:rsid w:val="002E5138"/>
    <w:rsid w:val="002E5CFA"/>
    <w:rsid w:val="002F001B"/>
    <w:rsid w:val="002F05C7"/>
    <w:rsid w:val="002F3625"/>
    <w:rsid w:val="0030616F"/>
    <w:rsid w:val="00313BA6"/>
    <w:rsid w:val="00314E36"/>
    <w:rsid w:val="00323E9C"/>
    <w:rsid w:val="00325EFB"/>
    <w:rsid w:val="00332494"/>
    <w:rsid w:val="003378B9"/>
    <w:rsid w:val="00337B48"/>
    <w:rsid w:val="00342F3F"/>
    <w:rsid w:val="00363BD7"/>
    <w:rsid w:val="00366A83"/>
    <w:rsid w:val="0036771E"/>
    <w:rsid w:val="00372824"/>
    <w:rsid w:val="00374A9F"/>
    <w:rsid w:val="00376CFE"/>
    <w:rsid w:val="00377A1F"/>
    <w:rsid w:val="00382706"/>
    <w:rsid w:val="00383D4C"/>
    <w:rsid w:val="00394EC9"/>
    <w:rsid w:val="00396418"/>
    <w:rsid w:val="003A04E1"/>
    <w:rsid w:val="003A1822"/>
    <w:rsid w:val="003A5C4F"/>
    <w:rsid w:val="003A6989"/>
    <w:rsid w:val="003B3988"/>
    <w:rsid w:val="003B6FEF"/>
    <w:rsid w:val="003C4378"/>
    <w:rsid w:val="003D35B1"/>
    <w:rsid w:val="003D7879"/>
    <w:rsid w:val="003E4534"/>
    <w:rsid w:val="00400AF2"/>
    <w:rsid w:val="004222C7"/>
    <w:rsid w:val="00446B97"/>
    <w:rsid w:val="004476DD"/>
    <w:rsid w:val="00457038"/>
    <w:rsid w:val="00462DC7"/>
    <w:rsid w:val="004701DB"/>
    <w:rsid w:val="00473F91"/>
    <w:rsid w:val="00474716"/>
    <w:rsid w:val="00476DB6"/>
    <w:rsid w:val="00481872"/>
    <w:rsid w:val="0048384D"/>
    <w:rsid w:val="004857A3"/>
    <w:rsid w:val="00492B2B"/>
    <w:rsid w:val="004A41D0"/>
    <w:rsid w:val="004A52D1"/>
    <w:rsid w:val="004B5AE3"/>
    <w:rsid w:val="004B61D5"/>
    <w:rsid w:val="004C0A2A"/>
    <w:rsid w:val="004D0F7F"/>
    <w:rsid w:val="004D33AC"/>
    <w:rsid w:val="004D4F9A"/>
    <w:rsid w:val="004E0535"/>
    <w:rsid w:val="004F1336"/>
    <w:rsid w:val="005021E5"/>
    <w:rsid w:val="00513E34"/>
    <w:rsid w:val="00522195"/>
    <w:rsid w:val="0052473E"/>
    <w:rsid w:val="0052604E"/>
    <w:rsid w:val="0054201A"/>
    <w:rsid w:val="005445B4"/>
    <w:rsid w:val="00547F9A"/>
    <w:rsid w:val="00551679"/>
    <w:rsid w:val="00557359"/>
    <w:rsid w:val="00563C92"/>
    <w:rsid w:val="00564B66"/>
    <w:rsid w:val="00575F94"/>
    <w:rsid w:val="005762DB"/>
    <w:rsid w:val="005807E5"/>
    <w:rsid w:val="005863CE"/>
    <w:rsid w:val="00595B98"/>
    <w:rsid w:val="005972B6"/>
    <w:rsid w:val="00597EE8"/>
    <w:rsid w:val="005A098D"/>
    <w:rsid w:val="005A7D86"/>
    <w:rsid w:val="005B6513"/>
    <w:rsid w:val="005D0738"/>
    <w:rsid w:val="005E45BF"/>
    <w:rsid w:val="005F0FC8"/>
    <w:rsid w:val="005F2119"/>
    <w:rsid w:val="005F2FBE"/>
    <w:rsid w:val="005F495C"/>
    <w:rsid w:val="005F7B03"/>
    <w:rsid w:val="00610AD3"/>
    <w:rsid w:val="0061303D"/>
    <w:rsid w:val="00613471"/>
    <w:rsid w:val="00615011"/>
    <w:rsid w:val="006237F2"/>
    <w:rsid w:val="00623DF4"/>
    <w:rsid w:val="00631094"/>
    <w:rsid w:val="00643A7C"/>
    <w:rsid w:val="00645D05"/>
    <w:rsid w:val="00652CA5"/>
    <w:rsid w:val="00654AA3"/>
    <w:rsid w:val="0067219F"/>
    <w:rsid w:val="006766B6"/>
    <w:rsid w:val="006862D4"/>
    <w:rsid w:val="00694C4A"/>
    <w:rsid w:val="00694F3A"/>
    <w:rsid w:val="0069626F"/>
    <w:rsid w:val="006962FF"/>
    <w:rsid w:val="006B33DD"/>
    <w:rsid w:val="006B605D"/>
    <w:rsid w:val="006B72EC"/>
    <w:rsid w:val="006C2386"/>
    <w:rsid w:val="006C4412"/>
    <w:rsid w:val="006C66F7"/>
    <w:rsid w:val="006D7EE6"/>
    <w:rsid w:val="006E68E9"/>
    <w:rsid w:val="006E7B68"/>
    <w:rsid w:val="0071019A"/>
    <w:rsid w:val="007123E0"/>
    <w:rsid w:val="00714EB0"/>
    <w:rsid w:val="00727C32"/>
    <w:rsid w:val="007337DD"/>
    <w:rsid w:val="00745020"/>
    <w:rsid w:val="007539C3"/>
    <w:rsid w:val="00753AFB"/>
    <w:rsid w:val="00757959"/>
    <w:rsid w:val="00757C5B"/>
    <w:rsid w:val="007735E6"/>
    <w:rsid w:val="0078596C"/>
    <w:rsid w:val="007A1D59"/>
    <w:rsid w:val="007A788F"/>
    <w:rsid w:val="007B25AB"/>
    <w:rsid w:val="007B3B14"/>
    <w:rsid w:val="007B4402"/>
    <w:rsid w:val="007B6672"/>
    <w:rsid w:val="007C2FB0"/>
    <w:rsid w:val="007D45DD"/>
    <w:rsid w:val="007D7C6F"/>
    <w:rsid w:val="007F430A"/>
    <w:rsid w:val="00812C0C"/>
    <w:rsid w:val="00814230"/>
    <w:rsid w:val="00820F72"/>
    <w:rsid w:val="0082178D"/>
    <w:rsid w:val="008264B1"/>
    <w:rsid w:val="00832426"/>
    <w:rsid w:val="008338C8"/>
    <w:rsid w:val="008354D5"/>
    <w:rsid w:val="008425C5"/>
    <w:rsid w:val="00857E17"/>
    <w:rsid w:val="00861923"/>
    <w:rsid w:val="00863BFF"/>
    <w:rsid w:val="00867418"/>
    <w:rsid w:val="00882C71"/>
    <w:rsid w:val="00893EC8"/>
    <w:rsid w:val="00896ECD"/>
    <w:rsid w:val="008A6EAB"/>
    <w:rsid w:val="008B197E"/>
    <w:rsid w:val="008B2402"/>
    <w:rsid w:val="008D59AE"/>
    <w:rsid w:val="008D5FDB"/>
    <w:rsid w:val="008E2A64"/>
    <w:rsid w:val="008E4B1C"/>
    <w:rsid w:val="008E6E82"/>
    <w:rsid w:val="008F029F"/>
    <w:rsid w:val="008F02C0"/>
    <w:rsid w:val="008F03DA"/>
    <w:rsid w:val="008F3A53"/>
    <w:rsid w:val="008F5A96"/>
    <w:rsid w:val="00901D3C"/>
    <w:rsid w:val="009275DA"/>
    <w:rsid w:val="0093093D"/>
    <w:rsid w:val="00931988"/>
    <w:rsid w:val="009429CB"/>
    <w:rsid w:val="00964648"/>
    <w:rsid w:val="00965770"/>
    <w:rsid w:val="00970DCA"/>
    <w:rsid w:val="00974948"/>
    <w:rsid w:val="009828E6"/>
    <w:rsid w:val="0098391D"/>
    <w:rsid w:val="0098679F"/>
    <w:rsid w:val="009908D2"/>
    <w:rsid w:val="009A0E8B"/>
    <w:rsid w:val="009A6D99"/>
    <w:rsid w:val="009B3584"/>
    <w:rsid w:val="009E33F3"/>
    <w:rsid w:val="009E52F9"/>
    <w:rsid w:val="009E5BB8"/>
    <w:rsid w:val="00A06C93"/>
    <w:rsid w:val="00A10E31"/>
    <w:rsid w:val="00A263D7"/>
    <w:rsid w:val="00A26636"/>
    <w:rsid w:val="00A330DC"/>
    <w:rsid w:val="00A547E1"/>
    <w:rsid w:val="00A64BB1"/>
    <w:rsid w:val="00A6710D"/>
    <w:rsid w:val="00A679B8"/>
    <w:rsid w:val="00A8346D"/>
    <w:rsid w:val="00A87420"/>
    <w:rsid w:val="00A92AB9"/>
    <w:rsid w:val="00AA72A9"/>
    <w:rsid w:val="00AB01E7"/>
    <w:rsid w:val="00AB055C"/>
    <w:rsid w:val="00AB231F"/>
    <w:rsid w:val="00AB3D48"/>
    <w:rsid w:val="00AB4B49"/>
    <w:rsid w:val="00AC0F5F"/>
    <w:rsid w:val="00AC22A3"/>
    <w:rsid w:val="00AC5C53"/>
    <w:rsid w:val="00AC66A6"/>
    <w:rsid w:val="00AC6E0C"/>
    <w:rsid w:val="00AD644C"/>
    <w:rsid w:val="00AE6BC3"/>
    <w:rsid w:val="00AF2554"/>
    <w:rsid w:val="00AF7D08"/>
    <w:rsid w:val="00AF7F94"/>
    <w:rsid w:val="00B05032"/>
    <w:rsid w:val="00B16F2B"/>
    <w:rsid w:val="00B2028B"/>
    <w:rsid w:val="00B25917"/>
    <w:rsid w:val="00B32460"/>
    <w:rsid w:val="00B360A0"/>
    <w:rsid w:val="00B40A22"/>
    <w:rsid w:val="00B45F5A"/>
    <w:rsid w:val="00B52D8A"/>
    <w:rsid w:val="00B56C92"/>
    <w:rsid w:val="00B7144A"/>
    <w:rsid w:val="00B750B6"/>
    <w:rsid w:val="00B77275"/>
    <w:rsid w:val="00B80254"/>
    <w:rsid w:val="00B806B8"/>
    <w:rsid w:val="00B81434"/>
    <w:rsid w:val="00B926D6"/>
    <w:rsid w:val="00B9300F"/>
    <w:rsid w:val="00B96F22"/>
    <w:rsid w:val="00BA4A1D"/>
    <w:rsid w:val="00BC769A"/>
    <w:rsid w:val="00BD4D29"/>
    <w:rsid w:val="00BE1159"/>
    <w:rsid w:val="00BE1522"/>
    <w:rsid w:val="00BE1AFE"/>
    <w:rsid w:val="00BE7FC2"/>
    <w:rsid w:val="00BF1F77"/>
    <w:rsid w:val="00C03AE0"/>
    <w:rsid w:val="00C12F03"/>
    <w:rsid w:val="00C222C2"/>
    <w:rsid w:val="00C249B8"/>
    <w:rsid w:val="00C300B3"/>
    <w:rsid w:val="00C3237B"/>
    <w:rsid w:val="00C33671"/>
    <w:rsid w:val="00C4248F"/>
    <w:rsid w:val="00C44976"/>
    <w:rsid w:val="00C46901"/>
    <w:rsid w:val="00C47C75"/>
    <w:rsid w:val="00C47CD3"/>
    <w:rsid w:val="00C51DD5"/>
    <w:rsid w:val="00C5662A"/>
    <w:rsid w:val="00C674FF"/>
    <w:rsid w:val="00C83D6D"/>
    <w:rsid w:val="00C86013"/>
    <w:rsid w:val="00C9093E"/>
    <w:rsid w:val="00C945BE"/>
    <w:rsid w:val="00CA4D3B"/>
    <w:rsid w:val="00CA60B2"/>
    <w:rsid w:val="00CA6385"/>
    <w:rsid w:val="00CB0E1A"/>
    <w:rsid w:val="00CB31D9"/>
    <w:rsid w:val="00CC7945"/>
    <w:rsid w:val="00CD0782"/>
    <w:rsid w:val="00CD11DD"/>
    <w:rsid w:val="00CD3DE2"/>
    <w:rsid w:val="00CD7FBC"/>
    <w:rsid w:val="00CE5F18"/>
    <w:rsid w:val="00CF203E"/>
    <w:rsid w:val="00CF2603"/>
    <w:rsid w:val="00CF4AB9"/>
    <w:rsid w:val="00D04521"/>
    <w:rsid w:val="00D23C1F"/>
    <w:rsid w:val="00D25D3E"/>
    <w:rsid w:val="00D32152"/>
    <w:rsid w:val="00D3406B"/>
    <w:rsid w:val="00D3428F"/>
    <w:rsid w:val="00D34D67"/>
    <w:rsid w:val="00D46534"/>
    <w:rsid w:val="00D55D6A"/>
    <w:rsid w:val="00D57AAC"/>
    <w:rsid w:val="00D61187"/>
    <w:rsid w:val="00D64369"/>
    <w:rsid w:val="00D77B80"/>
    <w:rsid w:val="00D8417C"/>
    <w:rsid w:val="00D86204"/>
    <w:rsid w:val="00D91B15"/>
    <w:rsid w:val="00D9226F"/>
    <w:rsid w:val="00D9713B"/>
    <w:rsid w:val="00DB4F06"/>
    <w:rsid w:val="00DC0499"/>
    <w:rsid w:val="00DC09B9"/>
    <w:rsid w:val="00DC13C8"/>
    <w:rsid w:val="00DC22B5"/>
    <w:rsid w:val="00DC723C"/>
    <w:rsid w:val="00DD1889"/>
    <w:rsid w:val="00DD358E"/>
    <w:rsid w:val="00DE0A8B"/>
    <w:rsid w:val="00DE2D96"/>
    <w:rsid w:val="00DE3841"/>
    <w:rsid w:val="00DF238A"/>
    <w:rsid w:val="00DF4CC5"/>
    <w:rsid w:val="00DF4F0E"/>
    <w:rsid w:val="00DF7800"/>
    <w:rsid w:val="00E02D18"/>
    <w:rsid w:val="00E06BED"/>
    <w:rsid w:val="00E06F3C"/>
    <w:rsid w:val="00E2098D"/>
    <w:rsid w:val="00E20C1F"/>
    <w:rsid w:val="00E22A74"/>
    <w:rsid w:val="00E22F32"/>
    <w:rsid w:val="00E23887"/>
    <w:rsid w:val="00E25064"/>
    <w:rsid w:val="00E2789D"/>
    <w:rsid w:val="00E27B9F"/>
    <w:rsid w:val="00E30B02"/>
    <w:rsid w:val="00E336A4"/>
    <w:rsid w:val="00E33871"/>
    <w:rsid w:val="00E33ECE"/>
    <w:rsid w:val="00E34298"/>
    <w:rsid w:val="00E401A1"/>
    <w:rsid w:val="00E60ECD"/>
    <w:rsid w:val="00E648E7"/>
    <w:rsid w:val="00E652AA"/>
    <w:rsid w:val="00E72EE8"/>
    <w:rsid w:val="00E8638D"/>
    <w:rsid w:val="00E92633"/>
    <w:rsid w:val="00E92715"/>
    <w:rsid w:val="00E93F0E"/>
    <w:rsid w:val="00E941CF"/>
    <w:rsid w:val="00E95AA1"/>
    <w:rsid w:val="00E972ED"/>
    <w:rsid w:val="00EC5040"/>
    <w:rsid w:val="00EC551B"/>
    <w:rsid w:val="00EC6DE8"/>
    <w:rsid w:val="00ED362C"/>
    <w:rsid w:val="00ED3E22"/>
    <w:rsid w:val="00EE0AD9"/>
    <w:rsid w:val="00EE7678"/>
    <w:rsid w:val="00EF4C1B"/>
    <w:rsid w:val="00F04C12"/>
    <w:rsid w:val="00F11B26"/>
    <w:rsid w:val="00F144F1"/>
    <w:rsid w:val="00F15953"/>
    <w:rsid w:val="00F23CD5"/>
    <w:rsid w:val="00F3273B"/>
    <w:rsid w:val="00F37842"/>
    <w:rsid w:val="00F43F06"/>
    <w:rsid w:val="00F474BF"/>
    <w:rsid w:val="00F528D9"/>
    <w:rsid w:val="00F52CAE"/>
    <w:rsid w:val="00F67B4A"/>
    <w:rsid w:val="00F700F9"/>
    <w:rsid w:val="00F76E7D"/>
    <w:rsid w:val="00F80194"/>
    <w:rsid w:val="00F873BE"/>
    <w:rsid w:val="00F87936"/>
    <w:rsid w:val="00F97D17"/>
    <w:rsid w:val="00FA784A"/>
    <w:rsid w:val="00FB7548"/>
    <w:rsid w:val="00FC07D3"/>
    <w:rsid w:val="00FC6CB8"/>
    <w:rsid w:val="00FD420B"/>
    <w:rsid w:val="00FE121D"/>
    <w:rsid w:val="00FE5702"/>
    <w:rsid w:val="00FF34B0"/>
    <w:rsid w:val="00FF5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3FAA"/>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E52F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EF"/>
    <w:pPr>
      <w:tabs>
        <w:tab w:val="center" w:pos="4819"/>
        <w:tab w:val="right" w:pos="9638"/>
      </w:tabs>
    </w:pPr>
  </w:style>
  <w:style w:type="character" w:customStyle="1" w:styleId="HeaderChar">
    <w:name w:val="Header Char"/>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5EF"/>
    <w:pPr>
      <w:tabs>
        <w:tab w:val="center" w:pos="4819"/>
        <w:tab w:val="right" w:pos="9638"/>
      </w:tabs>
    </w:pPr>
  </w:style>
  <w:style w:type="character" w:customStyle="1" w:styleId="FooterChar">
    <w:name w:val="Footer Char"/>
    <w:basedOn w:val="DefaultParagraphFont"/>
    <w:link w:val="Footer"/>
    <w:uiPriority w:val="99"/>
    <w:rsid w:val="000E15EF"/>
    <w:rPr>
      <w:rFonts w:ascii="Times New Roman" w:eastAsia="Times New Roman" w:hAnsi="Times New Roman" w:cs="Times New Roman"/>
      <w:sz w:val="24"/>
      <w:szCs w:val="24"/>
    </w:rPr>
  </w:style>
  <w:style w:type="paragraph" w:styleId="ListParagraph">
    <w:name w:val="List Paragraph"/>
    <w:basedOn w:val="Normal"/>
    <w:uiPriority w:val="34"/>
    <w:qFormat/>
    <w:rsid w:val="00E93F0E"/>
    <w:pPr>
      <w:ind w:left="720"/>
      <w:contextualSpacing/>
    </w:pPr>
    <w:rPr>
      <w:sz w:val="20"/>
      <w:szCs w:val="20"/>
    </w:rPr>
  </w:style>
  <w:style w:type="paragraph" w:customStyle="1" w:styleId="05">
    <w:name w:val="05"/>
    <w:basedOn w:val="Normal"/>
    <w:qFormat/>
    <w:rsid w:val="00DC13C8"/>
    <w:pPr>
      <w:spacing w:after="120" w:line="276" w:lineRule="auto"/>
    </w:pPr>
    <w:rPr>
      <w:rFonts w:ascii="Titillium Lt" w:hAnsi="Titillium Lt"/>
      <w:color w:val="7C7C7C"/>
      <w:sz w:val="22"/>
      <w:szCs w:val="18"/>
    </w:rPr>
  </w:style>
  <w:style w:type="paragraph" w:styleId="PlainText">
    <w:name w:val="Plain Text"/>
    <w:basedOn w:val="Normal"/>
    <w:link w:val="PlainTextChar"/>
    <w:uiPriority w:val="99"/>
    <w:unhideWhenUsed/>
    <w:rsid w:val="00B806B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806B8"/>
    <w:rPr>
      <w:rFonts w:ascii="Calibri" w:hAnsi="Calibri"/>
      <w:szCs w:val="21"/>
    </w:rPr>
  </w:style>
  <w:style w:type="paragraph" w:styleId="NormalWeb">
    <w:name w:val="Normal (Web)"/>
    <w:basedOn w:val="Normal"/>
    <w:uiPriority w:val="99"/>
    <w:semiHidden/>
    <w:unhideWhenUsed/>
    <w:rsid w:val="00AD644C"/>
    <w:pPr>
      <w:spacing w:before="100" w:beforeAutospacing="1" w:after="100" w:afterAutospacing="1"/>
    </w:pPr>
    <w:rPr>
      <w:lang w:eastAsia="lt-LT"/>
    </w:rPr>
  </w:style>
  <w:style w:type="paragraph" w:styleId="BodyText">
    <w:name w:val="Body Text"/>
    <w:basedOn w:val="Normal"/>
    <w:link w:val="BodyTextChar"/>
    <w:uiPriority w:val="99"/>
    <w:unhideWhenUsed/>
    <w:rsid w:val="00E34298"/>
    <w:pPr>
      <w:spacing w:before="100" w:beforeAutospacing="1" w:after="100" w:afterAutospacing="1"/>
    </w:pPr>
    <w:rPr>
      <w:lang w:eastAsia="lt-LT"/>
    </w:rPr>
  </w:style>
  <w:style w:type="character" w:customStyle="1" w:styleId="BodyTextChar">
    <w:name w:val="Body Text Char"/>
    <w:basedOn w:val="DefaultParagraphFont"/>
    <w:link w:val="BodyText"/>
    <w:uiPriority w:val="99"/>
    <w:rsid w:val="00E34298"/>
    <w:rPr>
      <w:rFonts w:ascii="Times New Roman" w:eastAsia="Times New Roman" w:hAnsi="Times New Roman" w:cs="Times New Roman"/>
      <w:sz w:val="24"/>
      <w:szCs w:val="24"/>
      <w:lang w:eastAsia="lt-LT"/>
    </w:rPr>
  </w:style>
  <w:style w:type="character" w:customStyle="1" w:styleId="markedcontent">
    <w:name w:val="markedcontent"/>
    <w:basedOn w:val="DefaultParagraphFont"/>
    <w:rsid w:val="00C03AE0"/>
  </w:style>
  <w:style w:type="paragraph" w:customStyle="1" w:styleId="tajtip">
    <w:name w:val="tajtip"/>
    <w:basedOn w:val="Normal"/>
    <w:rsid w:val="00BE7FC2"/>
    <w:pPr>
      <w:spacing w:before="100" w:beforeAutospacing="1" w:after="100" w:afterAutospacing="1"/>
    </w:pPr>
    <w:rPr>
      <w:lang w:eastAsia="lt-LT"/>
    </w:rPr>
  </w:style>
  <w:style w:type="character" w:styleId="Hyperlink">
    <w:name w:val="Hyperlink"/>
    <w:basedOn w:val="DefaultParagraphFont"/>
    <w:uiPriority w:val="99"/>
    <w:semiHidden/>
    <w:unhideWhenUsed/>
    <w:rsid w:val="00BE7FC2"/>
    <w:rPr>
      <w:color w:val="0000FF"/>
      <w:u w:val="single"/>
    </w:rPr>
  </w:style>
  <w:style w:type="paragraph" w:styleId="Revision">
    <w:name w:val="Revision"/>
    <w:hidden/>
    <w:uiPriority w:val="99"/>
    <w:semiHidden/>
    <w:rsid w:val="00B56C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5AA1"/>
    <w:rPr>
      <w:sz w:val="16"/>
      <w:szCs w:val="16"/>
    </w:rPr>
  </w:style>
  <w:style w:type="paragraph" w:styleId="CommentText">
    <w:name w:val="annotation text"/>
    <w:basedOn w:val="Normal"/>
    <w:link w:val="CommentTextChar"/>
    <w:uiPriority w:val="99"/>
    <w:unhideWhenUsed/>
    <w:rsid w:val="00E95AA1"/>
    <w:rPr>
      <w:sz w:val="20"/>
      <w:szCs w:val="20"/>
    </w:rPr>
  </w:style>
  <w:style w:type="character" w:customStyle="1" w:styleId="CommentTextChar">
    <w:name w:val="Comment Text Char"/>
    <w:basedOn w:val="DefaultParagraphFont"/>
    <w:link w:val="CommentText"/>
    <w:uiPriority w:val="99"/>
    <w:rsid w:val="00E95A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5AA1"/>
    <w:rPr>
      <w:b/>
      <w:bCs/>
    </w:rPr>
  </w:style>
  <w:style w:type="character" w:customStyle="1" w:styleId="CommentSubjectChar">
    <w:name w:val="Comment Subject Char"/>
    <w:basedOn w:val="CommentTextChar"/>
    <w:link w:val="CommentSubject"/>
    <w:uiPriority w:val="99"/>
    <w:semiHidden/>
    <w:rsid w:val="00E95A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9E52F9"/>
    <w:rPr>
      <w:rFonts w:asciiTheme="majorHAnsi" w:eastAsiaTheme="majorEastAsia" w:hAnsiTheme="majorHAnsi" w:cstheme="majorBidi"/>
      <w:color w:val="243F60" w:themeColor="accent1" w:themeShade="7F"/>
      <w:sz w:val="24"/>
      <w:szCs w:val="24"/>
    </w:rPr>
  </w:style>
  <w:style w:type="character" w:customStyle="1" w:styleId="Other">
    <w:name w:val="Other_"/>
    <w:basedOn w:val="DefaultParagraphFont"/>
    <w:link w:val="Other0"/>
    <w:rsid w:val="00B360A0"/>
    <w:rPr>
      <w:rFonts w:ascii="Times New Roman" w:eastAsia="Times New Roman" w:hAnsi="Times New Roman" w:cs="Times New Roman"/>
      <w:shd w:val="clear" w:color="auto" w:fill="FFFFFF"/>
    </w:rPr>
  </w:style>
  <w:style w:type="paragraph" w:customStyle="1" w:styleId="Other0">
    <w:name w:val="Other"/>
    <w:basedOn w:val="Normal"/>
    <w:link w:val="Other"/>
    <w:rsid w:val="00B360A0"/>
    <w:pPr>
      <w:widowControl w:val="0"/>
      <w:shd w:val="clear" w:color="auto" w:fill="FFFFFF"/>
      <w:ind w:firstLine="400"/>
    </w:pPr>
    <w:rPr>
      <w:sz w:val="22"/>
      <w:szCs w:val="22"/>
    </w:rPr>
  </w:style>
  <w:style w:type="paragraph" w:styleId="EndnoteText">
    <w:name w:val="endnote text"/>
    <w:basedOn w:val="Normal"/>
    <w:link w:val="EndnoteTextChar"/>
    <w:uiPriority w:val="99"/>
    <w:semiHidden/>
    <w:unhideWhenUsed/>
    <w:rsid w:val="004A52D1"/>
    <w:rPr>
      <w:sz w:val="20"/>
      <w:szCs w:val="20"/>
    </w:rPr>
  </w:style>
  <w:style w:type="character" w:customStyle="1" w:styleId="EndnoteTextChar">
    <w:name w:val="Endnote Text Char"/>
    <w:basedOn w:val="DefaultParagraphFont"/>
    <w:link w:val="EndnoteText"/>
    <w:uiPriority w:val="99"/>
    <w:semiHidden/>
    <w:rsid w:val="004A52D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A52D1"/>
    <w:rPr>
      <w:vertAlign w:val="superscript"/>
    </w:rPr>
  </w:style>
  <w:style w:type="paragraph" w:styleId="FootnoteText">
    <w:name w:val="footnote text"/>
    <w:basedOn w:val="Normal"/>
    <w:link w:val="FootnoteTextChar"/>
    <w:uiPriority w:val="99"/>
    <w:semiHidden/>
    <w:unhideWhenUsed/>
    <w:rsid w:val="00575F94"/>
    <w:rPr>
      <w:sz w:val="20"/>
      <w:szCs w:val="20"/>
    </w:rPr>
  </w:style>
  <w:style w:type="character" w:customStyle="1" w:styleId="FootnoteTextChar">
    <w:name w:val="Footnote Text Char"/>
    <w:basedOn w:val="DefaultParagraphFont"/>
    <w:link w:val="FootnoteText"/>
    <w:uiPriority w:val="99"/>
    <w:semiHidden/>
    <w:rsid w:val="00575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5F94"/>
    <w:rPr>
      <w:vertAlign w:val="superscript"/>
    </w:rPr>
  </w:style>
  <w:style w:type="character" w:styleId="PlaceholderText">
    <w:name w:val="Placeholder Text"/>
    <w:basedOn w:val="DefaultParagraphFont"/>
    <w:uiPriority w:val="99"/>
    <w:semiHidden/>
    <w:rsid w:val="00575F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2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0806844">
      <w:bodyDiv w:val="1"/>
      <w:marLeft w:val="0"/>
      <w:marRight w:val="0"/>
      <w:marTop w:val="0"/>
      <w:marBottom w:val="0"/>
      <w:divBdr>
        <w:top w:val="none" w:sz="0" w:space="0" w:color="auto"/>
        <w:left w:val="none" w:sz="0" w:space="0" w:color="auto"/>
        <w:bottom w:val="none" w:sz="0" w:space="0" w:color="auto"/>
        <w:right w:val="none" w:sz="0" w:space="0" w:color="auto"/>
      </w:divBdr>
    </w:div>
    <w:div w:id="1180041818">
      <w:bodyDiv w:val="1"/>
      <w:marLeft w:val="0"/>
      <w:marRight w:val="0"/>
      <w:marTop w:val="0"/>
      <w:marBottom w:val="0"/>
      <w:divBdr>
        <w:top w:val="none" w:sz="0" w:space="0" w:color="auto"/>
        <w:left w:val="none" w:sz="0" w:space="0" w:color="auto"/>
        <w:bottom w:val="none" w:sz="0" w:space="0" w:color="auto"/>
        <w:right w:val="none" w:sz="0" w:space="0" w:color="auto"/>
      </w:divBdr>
    </w:div>
    <w:div w:id="1305506587">
      <w:bodyDiv w:val="1"/>
      <w:marLeft w:val="0"/>
      <w:marRight w:val="0"/>
      <w:marTop w:val="0"/>
      <w:marBottom w:val="0"/>
      <w:divBdr>
        <w:top w:val="none" w:sz="0" w:space="0" w:color="auto"/>
        <w:left w:val="none" w:sz="0" w:space="0" w:color="auto"/>
        <w:bottom w:val="none" w:sz="0" w:space="0" w:color="auto"/>
        <w:right w:val="none" w:sz="0" w:space="0" w:color="auto"/>
      </w:divBdr>
    </w:div>
    <w:div w:id="1518152459">
      <w:bodyDiv w:val="1"/>
      <w:marLeft w:val="0"/>
      <w:marRight w:val="0"/>
      <w:marTop w:val="0"/>
      <w:marBottom w:val="0"/>
      <w:divBdr>
        <w:top w:val="none" w:sz="0" w:space="0" w:color="auto"/>
        <w:left w:val="none" w:sz="0" w:space="0" w:color="auto"/>
        <w:bottom w:val="none" w:sz="0" w:space="0" w:color="auto"/>
        <w:right w:val="none" w:sz="0" w:space="0" w:color="auto"/>
      </w:divBdr>
    </w:div>
    <w:div w:id="1735004237">
      <w:bodyDiv w:val="1"/>
      <w:marLeft w:val="0"/>
      <w:marRight w:val="0"/>
      <w:marTop w:val="0"/>
      <w:marBottom w:val="0"/>
      <w:divBdr>
        <w:top w:val="none" w:sz="0" w:space="0" w:color="auto"/>
        <w:left w:val="none" w:sz="0" w:space="0" w:color="auto"/>
        <w:bottom w:val="none" w:sz="0" w:space="0" w:color="auto"/>
        <w:right w:val="none" w:sz="0" w:space="0" w:color="auto"/>
      </w:divBdr>
    </w:div>
    <w:div w:id="21007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2a9aa88da5d471c8701e69026c049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C:\reglex\Tmp\12a9aa88da5d471c8701e69026c049d6.dot</Template>
  <TotalTime>2</TotalTime>
  <Pages>5</Pages>
  <Words>2002</Words>
  <Characters>11416</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DĖL AKCININKO LŪKESČIŲ RAŠTO UŽDARAJAI AKCINEI BENDROVEI „KLAIPĖDOS PASLAUGOS“ PATVIRTINIMO (PRIEDAS)</vt:lpstr>
    </vt:vector>
  </TitlesOfParts>
  <Manager>2024-05-17</Manager>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AKCININKO LŪKESČIŲ RAŠTO UŽDARAJAI AKCINEI BENDROVEI „KLAIPĖDOS PASLAUGOS“ PATVIRTINIMO (PRIEDAS)</dc:title>
  <dc:subject>M-580</dc:subject>
  <dc:creator>KLAIPĖDOS MIESTO SAVIVALDYBĖS MERAS</dc:creator>
  <cp:lastModifiedBy>Rita Kasparavičiūtė</cp:lastModifiedBy>
  <cp:revision>2</cp:revision>
  <cp:lastPrinted>2024-07-24T06:30:00Z</cp:lastPrinted>
  <dcterms:created xsi:type="dcterms:W3CDTF">2025-11-04T11:55:00Z</dcterms:created>
  <dcterms:modified xsi:type="dcterms:W3CDTF">2025-11-04T11:55:00Z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1c30974c55270a7450279d99121de0f7e718025ca6c06e550f21c4939cb4696d</vt:lpwstr>
  </property>
</Properties>
</file>