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EC4E" w14:textId="77777777" w:rsidR="002741F0" w:rsidRPr="002741F0" w:rsidRDefault="002741F0" w:rsidP="00C436D2">
      <w:pPr>
        <w:spacing w:after="0" w:line="240" w:lineRule="auto"/>
        <w:ind w:left="10490" w:firstLine="0"/>
        <w:jc w:val="left"/>
      </w:pPr>
      <w:r w:rsidRPr="002741F0">
        <w:t>PATVIRTINTA</w:t>
      </w:r>
    </w:p>
    <w:p w14:paraId="49435EE7" w14:textId="77777777" w:rsidR="002741F0" w:rsidRPr="002741F0" w:rsidRDefault="002741F0" w:rsidP="00C436D2">
      <w:pPr>
        <w:spacing w:after="0" w:line="240" w:lineRule="auto"/>
        <w:ind w:left="10490" w:firstLine="0"/>
        <w:jc w:val="left"/>
      </w:pPr>
      <w:r w:rsidRPr="002741F0">
        <w:t>Kretingos rajono savivaldybės</w:t>
      </w:r>
    </w:p>
    <w:p w14:paraId="389C9358" w14:textId="2348C3D8" w:rsidR="002741F0" w:rsidRPr="002741F0" w:rsidRDefault="002741F0" w:rsidP="00C436D2">
      <w:pPr>
        <w:spacing w:after="0" w:line="240" w:lineRule="auto"/>
        <w:ind w:left="10490" w:firstLine="0"/>
        <w:jc w:val="left"/>
      </w:pPr>
      <w:r w:rsidRPr="002741F0">
        <w:t>administracijos direktoriaus 2026 m. kovo    d.</w:t>
      </w:r>
    </w:p>
    <w:p w14:paraId="69CD5F1F" w14:textId="77777777" w:rsidR="002741F0" w:rsidRDefault="002741F0" w:rsidP="00C436D2">
      <w:pPr>
        <w:spacing w:after="0" w:line="240" w:lineRule="auto"/>
        <w:ind w:left="10490" w:firstLine="0"/>
        <w:jc w:val="left"/>
      </w:pPr>
      <w:r w:rsidRPr="002741F0">
        <w:t>įsakymu Nr. A1-</w:t>
      </w:r>
    </w:p>
    <w:p w14:paraId="06C72565" w14:textId="77777777" w:rsidR="002741F0" w:rsidRPr="002741F0" w:rsidRDefault="002741F0" w:rsidP="00C436D2">
      <w:pPr>
        <w:spacing w:after="0" w:line="240" w:lineRule="auto"/>
        <w:ind w:firstLine="0"/>
      </w:pPr>
    </w:p>
    <w:p w14:paraId="6A2C6523" w14:textId="091CB8F2" w:rsidR="002741F0" w:rsidRPr="002741F0" w:rsidRDefault="002741F0" w:rsidP="00C436D2">
      <w:pPr>
        <w:spacing w:after="0" w:line="240" w:lineRule="auto"/>
        <w:ind w:firstLine="0"/>
        <w:jc w:val="center"/>
        <w:rPr>
          <w:b/>
          <w:bCs/>
        </w:rPr>
      </w:pPr>
      <w:r w:rsidRPr="002741F0">
        <w:rPr>
          <w:b/>
          <w:bCs/>
        </w:rPr>
        <w:t>KRETINGOS RAJONO SAVIVALDYBĖS ADMINISTRACIJOS LYGIŲ GALIMYBIŲ 2025 METŲ VEIKSMŲ PLANO ATASKAITA</w:t>
      </w:r>
    </w:p>
    <w:p w14:paraId="7BA5CC36" w14:textId="1844F5BC" w:rsidR="001574EF" w:rsidRPr="00C436D2" w:rsidRDefault="00C436D2" w:rsidP="00C436D2">
      <w:pPr>
        <w:spacing w:after="0" w:line="240" w:lineRule="auto"/>
        <w:ind w:firstLine="0"/>
        <w:jc w:val="center"/>
        <w:rPr>
          <w:b/>
          <w:bCs/>
        </w:rPr>
      </w:pPr>
      <w:r w:rsidRPr="00C436D2">
        <w:rPr>
          <w:b/>
          <w:bCs/>
        </w:rPr>
        <w:t>(REZULTATŲ VERTINIMO LENTELĖ)</w:t>
      </w:r>
    </w:p>
    <w:p w14:paraId="4D64CF1E" w14:textId="77777777" w:rsidR="00C436D2" w:rsidRPr="002741F0" w:rsidRDefault="00C436D2" w:rsidP="00C436D2">
      <w:pPr>
        <w:spacing w:after="0" w:line="240" w:lineRule="auto"/>
        <w:ind w:firstLine="0"/>
      </w:pPr>
    </w:p>
    <w:tbl>
      <w:tblPr>
        <w:tblStyle w:val="1paprastojilentel"/>
        <w:tblW w:w="15122" w:type="dxa"/>
        <w:tblLook w:val="04A0" w:firstRow="1" w:lastRow="0" w:firstColumn="1" w:lastColumn="0" w:noHBand="0" w:noVBand="1"/>
      </w:tblPr>
      <w:tblGrid>
        <w:gridCol w:w="619"/>
        <w:gridCol w:w="2372"/>
        <w:gridCol w:w="1905"/>
        <w:gridCol w:w="2105"/>
        <w:gridCol w:w="2108"/>
        <w:gridCol w:w="6013"/>
      </w:tblGrid>
      <w:tr w:rsidR="00C12D32" w:rsidRPr="00462B39" w14:paraId="624C7886" w14:textId="77777777" w:rsidTr="00097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1F0D2093" w14:textId="1DF5EB73" w:rsidR="008626F0" w:rsidRPr="00462B39" w:rsidRDefault="00CF1EF7" w:rsidP="00C436D2">
            <w:pPr>
              <w:spacing w:after="0" w:line="240" w:lineRule="auto"/>
              <w:ind w:left="3" w:right="0" w:firstLine="0"/>
              <w:jc w:val="center"/>
              <w:rPr>
                <w:b w:val="0"/>
                <w:bCs w:val="0"/>
                <w:szCs w:val="24"/>
              </w:rPr>
            </w:pPr>
            <w:r w:rsidRPr="00462B39">
              <w:rPr>
                <w:b w:val="0"/>
                <w:bCs w:val="0"/>
                <w:szCs w:val="24"/>
              </w:rPr>
              <w:t xml:space="preserve">Eil. </w:t>
            </w:r>
            <w:r w:rsidR="008626F0" w:rsidRPr="00462B39">
              <w:rPr>
                <w:szCs w:val="24"/>
              </w:rPr>
              <w:t>Nr.</w:t>
            </w:r>
          </w:p>
        </w:tc>
        <w:tc>
          <w:tcPr>
            <w:tcW w:w="2374" w:type="dxa"/>
          </w:tcPr>
          <w:p w14:paraId="61796CFD" w14:textId="4D7FAEBA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462B39">
              <w:rPr>
                <w:szCs w:val="24"/>
              </w:rPr>
              <w:t>Priemonė</w:t>
            </w:r>
          </w:p>
        </w:tc>
        <w:tc>
          <w:tcPr>
            <w:tcW w:w="1906" w:type="dxa"/>
          </w:tcPr>
          <w:p w14:paraId="14C11800" w14:textId="77777777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462B39">
              <w:rPr>
                <w:szCs w:val="24"/>
              </w:rPr>
              <w:t>Atsakingas</w:t>
            </w:r>
          </w:p>
          <w:p w14:paraId="22A57242" w14:textId="48B24F5F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462B39">
              <w:rPr>
                <w:szCs w:val="24"/>
              </w:rPr>
              <w:t>vykdytojas</w:t>
            </w:r>
          </w:p>
        </w:tc>
        <w:tc>
          <w:tcPr>
            <w:tcW w:w="2046" w:type="dxa"/>
          </w:tcPr>
          <w:p w14:paraId="5B60B0A3" w14:textId="4246058A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462B39">
              <w:rPr>
                <w:szCs w:val="24"/>
              </w:rPr>
              <w:t>Siekiami</w:t>
            </w:r>
          </w:p>
          <w:p w14:paraId="021DFFFD" w14:textId="21FF7717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462B39">
              <w:rPr>
                <w:szCs w:val="24"/>
              </w:rPr>
              <w:t>rezultatai</w:t>
            </w:r>
          </w:p>
        </w:tc>
        <w:tc>
          <w:tcPr>
            <w:tcW w:w="2113" w:type="dxa"/>
          </w:tcPr>
          <w:p w14:paraId="22983432" w14:textId="17992BF9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6063" w:type="dxa"/>
          </w:tcPr>
          <w:p w14:paraId="30BC3054" w14:textId="6A38B271" w:rsidR="008626F0" w:rsidRPr="00462B39" w:rsidRDefault="008626F0" w:rsidP="00C436D2">
            <w:pPr>
              <w:spacing w:after="0" w:line="240" w:lineRule="auto"/>
              <w:ind w:right="5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Priemonės įgyvendinimo aprašymas</w:t>
            </w:r>
          </w:p>
          <w:p w14:paraId="1F0D74F4" w14:textId="1C2281BA" w:rsidR="008626F0" w:rsidRPr="00462B39" w:rsidRDefault="008626F0" w:rsidP="00C436D2">
            <w:pPr>
              <w:spacing w:after="0" w:line="240" w:lineRule="auto"/>
              <w:ind w:right="5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iCs/>
                <w:szCs w:val="24"/>
              </w:rPr>
              <w:t>(Taip, Iš dalies, Ne)</w:t>
            </w:r>
          </w:p>
        </w:tc>
      </w:tr>
      <w:tr w:rsidR="00C12D32" w:rsidRPr="00462B39" w14:paraId="4C6D9D70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1130B196" w14:textId="3057B52A" w:rsidR="008626F0" w:rsidRPr="00462B39" w:rsidRDefault="008626F0" w:rsidP="00C436D2">
            <w:pPr>
              <w:spacing w:after="0" w:line="240" w:lineRule="auto"/>
              <w:ind w:left="3" w:right="0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t>1.</w:t>
            </w:r>
          </w:p>
        </w:tc>
        <w:tc>
          <w:tcPr>
            <w:tcW w:w="2374" w:type="dxa"/>
            <w:vMerge w:val="restart"/>
          </w:tcPr>
          <w:p w14:paraId="4A2D716D" w14:textId="5FEBB6A6" w:rsidR="008626F0" w:rsidRPr="00462B39" w:rsidRDefault="002741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Naujus Administracijos darbuotojus supažindinti su Lygių galimybių politika</w:t>
            </w:r>
          </w:p>
        </w:tc>
        <w:tc>
          <w:tcPr>
            <w:tcW w:w="1906" w:type="dxa"/>
            <w:vMerge w:val="restart"/>
          </w:tcPr>
          <w:p w14:paraId="34350C28" w14:textId="32C93091" w:rsidR="00B50253" w:rsidRPr="00462B39" w:rsidRDefault="00B50253" w:rsidP="00C436D2">
            <w:pPr>
              <w:spacing w:after="0" w:line="240" w:lineRule="auto"/>
              <w:ind w:left="3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szCs w:val="24"/>
              </w:rPr>
              <w:t>Bendr</w:t>
            </w:r>
            <w:r w:rsidR="002741F0" w:rsidRPr="00462B39">
              <w:rPr>
                <w:szCs w:val="24"/>
              </w:rPr>
              <w:t>asis</w:t>
            </w:r>
            <w:r w:rsidRPr="00462B39">
              <w:rPr>
                <w:szCs w:val="24"/>
              </w:rPr>
              <w:t xml:space="preserve"> skyrius</w:t>
            </w:r>
          </w:p>
        </w:tc>
        <w:tc>
          <w:tcPr>
            <w:tcW w:w="2046" w:type="dxa"/>
            <w:vMerge w:val="restart"/>
          </w:tcPr>
          <w:p w14:paraId="10DED928" w14:textId="0E91099A" w:rsidR="008626F0" w:rsidRPr="00462B39" w:rsidRDefault="002741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96 proc. Savivaldybės administracijos darbuotojų yra susipažinę su Lygių galimybių politika, kiekvienas žino politikos nuostatas ir principus</w:t>
            </w:r>
          </w:p>
        </w:tc>
        <w:tc>
          <w:tcPr>
            <w:tcW w:w="2113" w:type="dxa"/>
          </w:tcPr>
          <w:p w14:paraId="2AB89C40" w14:textId="6D2A0F0B" w:rsidR="008626F0" w:rsidRPr="00462B39" w:rsidRDefault="008626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 xml:space="preserve">buvo įgyvendinta? </w:t>
            </w:r>
          </w:p>
        </w:tc>
        <w:tc>
          <w:tcPr>
            <w:tcW w:w="6063" w:type="dxa"/>
          </w:tcPr>
          <w:p w14:paraId="1F6319C1" w14:textId="335EA9C4" w:rsidR="008626F0" w:rsidRDefault="00C4619D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dalies</w:t>
            </w:r>
          </w:p>
          <w:p w14:paraId="2CF19F00" w14:textId="350891B9" w:rsidR="00C4619D" w:rsidRPr="00C4619D" w:rsidRDefault="00C4619D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Dokumentas elektroninėmis priemonėmis buvo pateiktas 130 asmenų. Su teisės aktu dokumentų valdymo sistemoje „Kontora“ susipažino tik 70,8 proc. (92 asmenys) darbuotojų, kurie veiklos žurnale suformavo įrašą „susipažinau“ arba paspaudė </w:t>
            </w:r>
            <w:r w:rsidR="00417010">
              <w:rPr>
                <w:szCs w:val="24"/>
              </w:rPr>
              <w:t>funkcinę žymą</w:t>
            </w:r>
            <w:r>
              <w:rPr>
                <w:szCs w:val="24"/>
              </w:rPr>
              <w:t xml:space="preserve"> „susipažinti“.</w:t>
            </w:r>
          </w:p>
        </w:tc>
      </w:tr>
      <w:tr w:rsidR="00C12D32" w:rsidRPr="00462B39" w14:paraId="1258234D" w14:textId="77777777" w:rsidTr="00097EA1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2F8C9968" w14:textId="77777777" w:rsidR="008626F0" w:rsidRPr="00462B39" w:rsidRDefault="008626F0" w:rsidP="00C436D2">
            <w:pPr>
              <w:spacing w:after="0" w:line="240" w:lineRule="auto"/>
              <w:ind w:left="3" w:right="0" w:firstLine="0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626D8AA0" w14:textId="1419743A" w:rsidR="008626F0" w:rsidRPr="00462B39" w:rsidRDefault="008626F0" w:rsidP="00C436D2">
            <w:pPr>
              <w:spacing w:after="0" w:line="240" w:lineRule="auto"/>
              <w:ind w:left="3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59382A2A" w14:textId="4C6539F7" w:rsidR="008626F0" w:rsidRPr="00462B39" w:rsidRDefault="008626F0" w:rsidP="00C436D2">
            <w:pPr>
              <w:spacing w:after="0" w:line="240" w:lineRule="auto"/>
              <w:ind w:left="3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66A4648A" w14:textId="72203903" w:rsidR="008626F0" w:rsidRPr="00462B39" w:rsidRDefault="008626F0" w:rsidP="00C436D2">
            <w:pPr>
              <w:spacing w:after="0" w:line="240" w:lineRule="auto"/>
              <w:ind w:left="3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243DB4BF" w14:textId="1ABAA85A" w:rsidR="008626F0" w:rsidRPr="00462B39" w:rsidRDefault="008626F0" w:rsidP="00462B39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28A5E9AA" w14:textId="27D6197D" w:rsidR="00C4619D" w:rsidRPr="00C4619D" w:rsidRDefault="00C4619D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C4619D">
              <w:rPr>
                <w:b/>
                <w:bCs/>
                <w:szCs w:val="24"/>
              </w:rPr>
              <w:t>Iš dalies</w:t>
            </w:r>
          </w:p>
          <w:p w14:paraId="0352962E" w14:textId="4F3B5D0B" w:rsidR="008626F0" w:rsidRPr="00462B39" w:rsidRDefault="00C4619D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Tik dalis </w:t>
            </w:r>
            <w:r w:rsidR="00137D56" w:rsidRPr="00462B39">
              <w:rPr>
                <w:kern w:val="2"/>
                <w:szCs w:val="24"/>
                <w14:ligatures w14:val="standardContextual"/>
              </w:rPr>
              <w:t>Administracijos darbuotoj</w:t>
            </w:r>
            <w:r>
              <w:rPr>
                <w:kern w:val="2"/>
                <w:szCs w:val="24"/>
                <w14:ligatures w14:val="standardContextual"/>
              </w:rPr>
              <w:t>ų</w:t>
            </w:r>
            <w:r w:rsidR="00137D56" w:rsidRPr="00462B39">
              <w:rPr>
                <w:kern w:val="2"/>
                <w:szCs w:val="24"/>
                <w14:ligatures w14:val="standardContextual"/>
              </w:rPr>
              <w:t xml:space="preserve"> yra susipažinę su Lygių galimybių politikos ir jos įgyvendinimo tvarkos aprašu, žino </w:t>
            </w:r>
            <w:r w:rsidR="002741F0" w:rsidRPr="00462B39">
              <w:rPr>
                <w:kern w:val="2"/>
                <w:szCs w:val="24"/>
                <w14:ligatures w14:val="standardContextual"/>
              </w:rPr>
              <w:t>p</w:t>
            </w:r>
            <w:r w:rsidR="00137D56" w:rsidRPr="00462B39">
              <w:rPr>
                <w:kern w:val="2"/>
                <w:szCs w:val="24"/>
                <w14:ligatures w14:val="standardContextual"/>
              </w:rPr>
              <w:t>olitikos nuostat</w:t>
            </w:r>
            <w:r w:rsidR="002741F0" w:rsidRPr="00462B39">
              <w:rPr>
                <w:kern w:val="2"/>
                <w:szCs w:val="24"/>
                <w14:ligatures w14:val="standardContextual"/>
              </w:rPr>
              <w:t>a</w:t>
            </w:r>
            <w:r w:rsidR="00137D56" w:rsidRPr="00462B39">
              <w:rPr>
                <w:kern w:val="2"/>
                <w:szCs w:val="24"/>
                <w14:ligatures w14:val="standardContextual"/>
              </w:rPr>
              <w:t>s ir principus</w:t>
            </w:r>
            <w:r w:rsidR="00111EC3">
              <w:rPr>
                <w:kern w:val="2"/>
                <w:szCs w:val="24"/>
                <w14:ligatures w14:val="standardContextual"/>
              </w:rPr>
              <w:t>.</w:t>
            </w:r>
          </w:p>
        </w:tc>
      </w:tr>
      <w:tr w:rsidR="00C12D32" w:rsidRPr="00462B39" w14:paraId="6575D43E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74523031" w14:textId="77777777" w:rsidR="008626F0" w:rsidRPr="00462B39" w:rsidRDefault="008626F0" w:rsidP="00C436D2">
            <w:pPr>
              <w:spacing w:after="0" w:line="240" w:lineRule="auto"/>
              <w:ind w:left="3" w:right="0" w:firstLine="0"/>
              <w:jc w:val="left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0ED8931A" w14:textId="3FE5F76F" w:rsidR="008626F0" w:rsidRPr="00462B39" w:rsidRDefault="008626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2480E607" w14:textId="1F6C0A6C" w:rsidR="008626F0" w:rsidRPr="00462B39" w:rsidRDefault="008626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0375B86F" w14:textId="5AB673AF" w:rsidR="008626F0" w:rsidRPr="00462B39" w:rsidRDefault="008626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2551E26F" w14:textId="30A91C78" w:rsidR="008626F0" w:rsidRPr="00462B39" w:rsidRDefault="008626F0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403FAA52" w14:textId="0A8B38D0" w:rsidR="008626F0" w:rsidRPr="00462B39" w:rsidRDefault="00B50253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</w:tc>
      </w:tr>
      <w:tr w:rsidR="00C12D32" w:rsidRPr="00462B39" w14:paraId="262B8EA7" w14:textId="77777777" w:rsidTr="00097EA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47DD6718" w14:textId="77777777" w:rsidR="00046F84" w:rsidRPr="00462B39" w:rsidRDefault="00046F84" w:rsidP="00C436D2">
            <w:pPr>
              <w:spacing w:after="0" w:line="240" w:lineRule="auto"/>
              <w:ind w:left="3" w:right="0" w:firstLine="0"/>
              <w:jc w:val="left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1E6888C8" w14:textId="100FC3F6" w:rsidR="00046F84" w:rsidRPr="00462B39" w:rsidRDefault="00046F84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6BF86927" w14:textId="258FF2F6" w:rsidR="00046F84" w:rsidRPr="00462B39" w:rsidRDefault="00046F84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34ABE631" w14:textId="00057223" w:rsidR="00046F84" w:rsidRPr="00462B39" w:rsidRDefault="00046F84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45C4129" w14:textId="7976471C" w:rsidR="00046F84" w:rsidRPr="00462B39" w:rsidRDefault="00046F84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3689DE3E" w14:textId="77777777" w:rsidR="00462B39" w:rsidRPr="00462B39" w:rsidRDefault="00462B39" w:rsidP="00462B39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7FD84066" w14:textId="0FC45C38" w:rsidR="00046F84" w:rsidRPr="00462B39" w:rsidRDefault="00137D56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Plane numatyta</w:t>
            </w:r>
            <w:r w:rsidR="00134426">
              <w:rPr>
                <w:szCs w:val="24"/>
              </w:rPr>
              <w:t xml:space="preserve">s nuolatinis </w:t>
            </w:r>
            <w:r w:rsidRPr="00462B39">
              <w:rPr>
                <w:szCs w:val="24"/>
              </w:rPr>
              <w:t>priemonė</w:t>
            </w:r>
            <w:r w:rsidR="00134426">
              <w:rPr>
                <w:szCs w:val="24"/>
              </w:rPr>
              <w:t>s</w:t>
            </w:r>
            <w:r w:rsidRPr="00462B39">
              <w:rPr>
                <w:szCs w:val="24"/>
              </w:rPr>
              <w:t xml:space="preserve"> vykd</w:t>
            </w:r>
            <w:r w:rsidR="00134426">
              <w:rPr>
                <w:szCs w:val="24"/>
              </w:rPr>
              <w:t>ymas</w:t>
            </w:r>
            <w:r w:rsidR="00111EC3">
              <w:rPr>
                <w:szCs w:val="24"/>
              </w:rPr>
              <w:t>.</w:t>
            </w:r>
          </w:p>
        </w:tc>
      </w:tr>
      <w:tr w:rsidR="00C12D32" w:rsidRPr="00462B39" w14:paraId="7942FB84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BBD6A90" w14:textId="77777777" w:rsidR="00046F84" w:rsidRPr="00462B39" w:rsidRDefault="00046F84" w:rsidP="00C436D2">
            <w:pPr>
              <w:spacing w:after="0" w:line="240" w:lineRule="auto"/>
              <w:ind w:left="3" w:right="58" w:firstLine="0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56DF6821" w14:textId="13C8DC70" w:rsidR="00046F84" w:rsidRPr="00462B39" w:rsidRDefault="00046F84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B09B94B" w14:textId="2B542A16" w:rsidR="00046F84" w:rsidRPr="00462B39" w:rsidRDefault="00046F84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4F1961A7" w14:textId="33E6DF1A" w:rsidR="00046F84" w:rsidRPr="00462B39" w:rsidRDefault="00046F84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00C7169" w14:textId="60205F9A" w:rsidR="00046F84" w:rsidRPr="00462B39" w:rsidRDefault="00046F84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38D3816E" w14:textId="77777777" w:rsidR="009F0A77" w:rsidRPr="00462B39" w:rsidRDefault="00137D56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  <w:p w14:paraId="27E78E18" w14:textId="1AFAB720" w:rsidR="00046F84" w:rsidRPr="00462B39" w:rsidRDefault="00137D56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Manytina, kad tokia priemonė veikia visose savivaldybės</w:t>
            </w:r>
            <w:r w:rsidR="002741F0" w:rsidRPr="00462B39">
              <w:rPr>
                <w:szCs w:val="24"/>
              </w:rPr>
              <w:t xml:space="preserve">e, todėl </w:t>
            </w:r>
            <w:r w:rsidRPr="00462B39">
              <w:rPr>
                <w:szCs w:val="24"/>
              </w:rPr>
              <w:t>kaip gerosios praktikos pavyzdys neteik</w:t>
            </w:r>
            <w:r w:rsidR="00134426">
              <w:rPr>
                <w:szCs w:val="24"/>
              </w:rPr>
              <w:t>tina</w:t>
            </w:r>
            <w:r w:rsidRPr="00462B39">
              <w:rPr>
                <w:szCs w:val="24"/>
              </w:rPr>
              <w:t>.</w:t>
            </w:r>
          </w:p>
        </w:tc>
      </w:tr>
      <w:tr w:rsidR="00462B39" w:rsidRPr="00462B39" w14:paraId="525C3C37" w14:textId="77777777" w:rsidTr="00097EA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621EB606" w14:textId="58BB4BF8" w:rsidR="00F51A8F" w:rsidRPr="00462B39" w:rsidRDefault="00F51A8F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lastRenderedPageBreak/>
              <w:t>2.</w:t>
            </w:r>
          </w:p>
        </w:tc>
        <w:tc>
          <w:tcPr>
            <w:tcW w:w="2374" w:type="dxa"/>
            <w:vMerge w:val="restart"/>
          </w:tcPr>
          <w:p w14:paraId="4F39EB81" w14:textId="78DD47A1" w:rsidR="00F51A8F" w:rsidRPr="00462B39" w:rsidRDefault="00F51A8F" w:rsidP="00C436D2">
            <w:pPr>
              <w:tabs>
                <w:tab w:val="right" w:pos="2969"/>
              </w:tabs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Suorganizuoti paskaitas (mokymus ar diskusijas) lygių galimybių, lyčių lygybės tematika ir paskaitą (mokymus ar diskusiją), padedančią identifikuoti diskriminacijos apraiškas darbo aplinkoje Savivaldybės administracijos darbuotojams</w:t>
            </w:r>
          </w:p>
        </w:tc>
        <w:tc>
          <w:tcPr>
            <w:tcW w:w="1906" w:type="dxa"/>
            <w:vMerge w:val="restart"/>
          </w:tcPr>
          <w:p w14:paraId="7C0CA035" w14:textId="58F45973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Bendrasis skyrius</w:t>
            </w:r>
          </w:p>
        </w:tc>
        <w:tc>
          <w:tcPr>
            <w:tcW w:w="2046" w:type="dxa"/>
            <w:vMerge w:val="restart"/>
          </w:tcPr>
          <w:p w14:paraId="0B6B041F" w14:textId="0632C640" w:rsidR="00F51A8F" w:rsidRPr="00462B39" w:rsidRDefault="00F51A8F" w:rsidP="00462B39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Suorganizuotos paskaitos (mokymai, diskusijos) lygių galimybių, lyčių lygybės tematika ir apie diskriminacijos apraiškas darbo aplinkoje, kuriose dalyvavo 50 proc. Administracijos darbuotojų.</w:t>
            </w:r>
          </w:p>
        </w:tc>
        <w:tc>
          <w:tcPr>
            <w:tcW w:w="2113" w:type="dxa"/>
          </w:tcPr>
          <w:p w14:paraId="2389DE46" w14:textId="0E3A68E0" w:rsidR="00F51A8F" w:rsidRPr="00462B39" w:rsidRDefault="00F51A8F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664B2570" w14:textId="6BE81D44" w:rsidR="00F51A8F" w:rsidRPr="00462B39" w:rsidRDefault="00F51A8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4F5A32D0" w14:textId="4B7BD711" w:rsidR="00F51A8F" w:rsidRPr="00462B39" w:rsidRDefault="00F51A8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Administracijos darbuotojai išklausė mokymus Lygių galimybių kontrolieriaus tarnybos mokymosi platformoje </w:t>
            </w:r>
            <w:hyperlink r:id="rId8" w:history="1">
              <w:r w:rsidRPr="00462B39">
                <w:rPr>
                  <w:rStyle w:val="Hipersaitas"/>
                  <w:szCs w:val="24"/>
                </w:rPr>
                <w:t>https://mokymai.lygiadieniai.lt/</w:t>
              </w:r>
            </w:hyperlink>
            <w:r w:rsidRPr="00462B39">
              <w:rPr>
                <w:szCs w:val="24"/>
              </w:rPr>
              <w:t xml:space="preserve">: </w:t>
            </w:r>
            <w:r w:rsidR="00111EC3" w:rsidRPr="00111EC3">
              <w:rPr>
                <w:szCs w:val="24"/>
              </w:rPr>
              <w:t>„Lyčių lygybės sprendimai sėkmingai savivaldai“, „Lyties aspekto integravimas į paslaugų teikimą“ ir „Lygybės ir nediskriminavimo ABC darbuotojams“.</w:t>
            </w:r>
            <w:r w:rsidR="00111EC3">
              <w:rPr>
                <w:szCs w:val="24"/>
              </w:rPr>
              <w:t xml:space="preserve"> </w:t>
            </w:r>
            <w:r w:rsidRPr="00462B39">
              <w:rPr>
                <w:szCs w:val="24"/>
              </w:rPr>
              <w:t xml:space="preserve">Mokymus išklausė </w:t>
            </w:r>
            <w:r w:rsidR="00B109F8">
              <w:rPr>
                <w:szCs w:val="24"/>
              </w:rPr>
              <w:t>60,1</w:t>
            </w:r>
            <w:r w:rsidRPr="00111EC3">
              <w:rPr>
                <w:color w:val="EE0000"/>
                <w:szCs w:val="24"/>
              </w:rPr>
              <w:t xml:space="preserve"> </w:t>
            </w:r>
            <w:r w:rsidRPr="00B109F8">
              <w:rPr>
                <w:color w:val="auto"/>
                <w:szCs w:val="24"/>
              </w:rPr>
              <w:t>proc</w:t>
            </w:r>
            <w:r w:rsidR="00B109F8" w:rsidRPr="00B109F8">
              <w:rPr>
                <w:color w:val="auto"/>
                <w:szCs w:val="24"/>
              </w:rPr>
              <w:t>.</w:t>
            </w:r>
            <w:r w:rsidRPr="00462B39">
              <w:rPr>
                <w:szCs w:val="24"/>
              </w:rPr>
              <w:t xml:space="preserve"> darbuotojų.</w:t>
            </w:r>
          </w:p>
        </w:tc>
      </w:tr>
      <w:tr w:rsidR="00462B39" w:rsidRPr="00462B39" w14:paraId="512586A3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AC53744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1AE5F523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2F9F37F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49FEEFF4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544852E9" w14:textId="74A7FFCF" w:rsidR="00F51A8F" w:rsidRPr="00462B39" w:rsidRDefault="00F51A8F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1D94BD20" w14:textId="6E283390" w:rsidR="00F51A8F" w:rsidRPr="00462B39" w:rsidRDefault="00F51A8F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49B21D94" w14:textId="7E3C4EB4" w:rsidR="00F51A8F" w:rsidRPr="00462B39" w:rsidRDefault="00F51A8F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Išklausyti mokymai padidino Administracijos darbuotojų sąmoningumą ir iš dalies pakeitė šiomis temomis nusistovėjusius stereotipus, </w:t>
            </w:r>
            <w:r w:rsidR="00134426">
              <w:rPr>
                <w:szCs w:val="24"/>
              </w:rPr>
              <w:t xml:space="preserve">manytina, kad </w:t>
            </w:r>
            <w:r w:rsidRPr="00462B39">
              <w:rPr>
                <w:szCs w:val="24"/>
              </w:rPr>
              <w:t>darbuotojai gebės geriau atpažinti diskriminaciją ir identifikuoti pagal bruožą.</w:t>
            </w:r>
          </w:p>
        </w:tc>
      </w:tr>
      <w:tr w:rsidR="00C12D32" w:rsidRPr="00462B39" w14:paraId="2309E53E" w14:textId="77777777" w:rsidTr="00097EA1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C8DEB62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0B8BC3E1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BE647D6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1C5E9FF5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52B2ADB" w14:textId="757562B9" w:rsidR="00F51A8F" w:rsidRPr="00462B39" w:rsidRDefault="00F51A8F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236019C2" w14:textId="5C639340" w:rsidR="00F51A8F" w:rsidRPr="00462B39" w:rsidRDefault="00F51A8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  <w:p w14:paraId="28821FC7" w14:textId="430FF1C4" w:rsidR="00F51A8F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Mokymų platformą administruoja Lygių galimybių kontrolieriaus tarnyba, todėl naudotasi jau sukurta medžiaga</w:t>
            </w:r>
            <w:r w:rsidR="00F51A8F" w:rsidRPr="00462B39">
              <w:rPr>
                <w:szCs w:val="24"/>
              </w:rPr>
              <w:t>.</w:t>
            </w:r>
          </w:p>
        </w:tc>
      </w:tr>
      <w:tr w:rsidR="00C12D32" w:rsidRPr="00462B39" w14:paraId="7F4CC691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5973E3D1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DF7BFE9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48A3891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35A8F43C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2DAE684E" w14:textId="03F8DF72" w:rsidR="00F51A8F" w:rsidRPr="00462B39" w:rsidRDefault="00F51A8F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265A6BCB" w14:textId="75E6234F" w:rsidR="00F51A8F" w:rsidRPr="00462B39" w:rsidRDefault="00F51A8F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439D2978" w14:textId="4B691C0A" w:rsidR="00F51A8F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Esant galimybei, numatoma vykdyti panašaus pobūdžio mokymus ateityje.</w:t>
            </w:r>
          </w:p>
        </w:tc>
      </w:tr>
      <w:tr w:rsidR="00C12D32" w:rsidRPr="00462B39" w14:paraId="77523610" w14:textId="77777777" w:rsidTr="00097EA1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34303B52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39607EB3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45E95E90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24DD835F" w14:textId="77777777" w:rsidR="00F51A8F" w:rsidRPr="00462B39" w:rsidRDefault="00F51A8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61058ACF" w14:textId="33799146" w:rsidR="00F51A8F" w:rsidRPr="00462B39" w:rsidRDefault="00F51A8F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01B5D45B" w14:textId="215CD63E" w:rsidR="00F51A8F" w:rsidRPr="00462B39" w:rsidRDefault="00494DD7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  <w:p w14:paraId="537980E2" w14:textId="3538B68D" w:rsidR="00F51A8F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Manytina, kad tai elementari kiekvienos įstaigos darbo kultūros dalis ir kaip išskirtinė praktika negalėtų būti teikiama.</w:t>
            </w:r>
          </w:p>
        </w:tc>
      </w:tr>
      <w:tr w:rsidR="009E21DF" w:rsidRPr="00462B39" w14:paraId="25D34C18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1C1B9A0A" w14:textId="68F8EFA6" w:rsidR="009E21DF" w:rsidRPr="00462B39" w:rsidRDefault="009E21DF" w:rsidP="00C436D2">
            <w:pPr>
              <w:spacing w:after="0" w:line="240" w:lineRule="auto"/>
              <w:ind w:left="3" w:right="58" w:firstLine="0"/>
              <w:jc w:val="center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3.</w:t>
            </w:r>
          </w:p>
        </w:tc>
        <w:tc>
          <w:tcPr>
            <w:tcW w:w="2374" w:type="dxa"/>
            <w:vMerge w:val="restart"/>
          </w:tcPr>
          <w:p w14:paraId="69F12E79" w14:textId="66787485" w:rsidR="009E21DF" w:rsidRPr="00462B39" w:rsidRDefault="009E21DF" w:rsidP="00C436D2">
            <w:pPr>
              <w:widowControl w:val="0"/>
              <w:tabs>
                <w:tab w:val="left" w:pos="1490"/>
                <w:tab w:val="left" w:pos="1795"/>
                <w:tab w:val="left" w:pos="10206"/>
                <w:tab w:val="left" w:pos="10773"/>
              </w:tabs>
              <w:spacing w:after="0" w:line="240" w:lineRule="auto"/>
              <w:ind w:right="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Užtikrinti, kad darbuotojų paieškos skelbimai būtų nediskriminuojantys lyties pagrindu, nesiremtų lyčių stereotipais</w:t>
            </w:r>
          </w:p>
        </w:tc>
        <w:tc>
          <w:tcPr>
            <w:tcW w:w="1906" w:type="dxa"/>
            <w:vMerge w:val="restart"/>
          </w:tcPr>
          <w:p w14:paraId="249D412E" w14:textId="77777777" w:rsidR="009E21DF" w:rsidRDefault="009E21DF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Bendrasis skyrius;</w:t>
            </w:r>
          </w:p>
          <w:p w14:paraId="371613BF" w14:textId="77777777" w:rsidR="00134426" w:rsidRPr="00462B39" w:rsidRDefault="00134426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  <w:p w14:paraId="6490C4AD" w14:textId="3FDA4D50" w:rsidR="009E21DF" w:rsidRPr="00462B39" w:rsidRDefault="009E21DF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Darbuotojas, atsakingas už lygių galimybių, moterų ir vyrų lygių galimybių įstatymų įgyvendinimą, stebėseną, koordinavimą ir atlikimą</w:t>
            </w:r>
          </w:p>
        </w:tc>
        <w:tc>
          <w:tcPr>
            <w:tcW w:w="2046" w:type="dxa"/>
            <w:vMerge w:val="restart"/>
          </w:tcPr>
          <w:p w14:paraId="20D61031" w14:textId="045D87E6" w:rsidR="009E21DF" w:rsidRPr="00462B39" w:rsidRDefault="009E21DF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szCs w:val="24"/>
              </w:rPr>
              <w:t>Vykdoma nuolatinė stebėsena ir, esant neatitikimų, teikiamos rekomendacijos dėl lyčių lygybės aspekto išlaikymo. Kretingos rajono savivaldybės administracija atvira abiem lytims darbovietė, atrankos dalyviai vertinami atsižvelgiant į turimas kompetencijas, gebėjimus ir įgūdžius, nesudarytos sąlygos diskriminacijai</w:t>
            </w:r>
          </w:p>
        </w:tc>
        <w:tc>
          <w:tcPr>
            <w:tcW w:w="2113" w:type="dxa"/>
          </w:tcPr>
          <w:p w14:paraId="4F37FE7E" w14:textId="4FED60CB" w:rsidR="009E21DF" w:rsidRPr="00462B39" w:rsidRDefault="009E21DF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 xml:space="preserve">Ar priemonė </w:t>
            </w:r>
            <w:r w:rsidRPr="00462B39">
              <w:rPr>
                <w:color w:val="auto"/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153C061F" w14:textId="77777777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775EE27B" w14:textId="4F58BB57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Darbo skelbimuose taikoma lyčiai jautri komunikacija, naudojamos gramatinės formos, skirtos abiejų lyčių potencialiems darbuotojams.</w:t>
            </w:r>
          </w:p>
          <w:p w14:paraId="23343B4A" w14:textId="3549967D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Cs w:val="24"/>
              </w:rPr>
            </w:pPr>
            <w:r w:rsidRPr="00462B39">
              <w:rPr>
                <w:color w:val="auto"/>
                <w:szCs w:val="24"/>
              </w:rPr>
              <w:t xml:space="preserve">Darbuotojų paieškos skelbimuose </w:t>
            </w:r>
            <w:r w:rsidR="00134426">
              <w:rPr>
                <w:color w:val="auto"/>
                <w:szCs w:val="24"/>
              </w:rPr>
              <w:t xml:space="preserve">nefiksuojama </w:t>
            </w:r>
            <w:r w:rsidRPr="00462B39">
              <w:rPr>
                <w:color w:val="auto"/>
                <w:szCs w:val="24"/>
              </w:rPr>
              <w:t xml:space="preserve">lyties pagrindu </w:t>
            </w:r>
            <w:r w:rsidR="00134426" w:rsidRPr="00462B39">
              <w:rPr>
                <w:color w:val="auto"/>
                <w:szCs w:val="24"/>
              </w:rPr>
              <w:t>diskriminuojan</w:t>
            </w:r>
            <w:r w:rsidR="00134426">
              <w:rPr>
                <w:color w:val="auto"/>
                <w:szCs w:val="24"/>
              </w:rPr>
              <w:t>čių</w:t>
            </w:r>
            <w:r w:rsidR="00134426" w:rsidRPr="00462B39">
              <w:rPr>
                <w:color w:val="auto"/>
                <w:szCs w:val="24"/>
              </w:rPr>
              <w:t xml:space="preserve"> </w:t>
            </w:r>
            <w:r w:rsidRPr="00462B39">
              <w:rPr>
                <w:color w:val="auto"/>
                <w:szCs w:val="24"/>
              </w:rPr>
              <w:t>reikalavim</w:t>
            </w:r>
            <w:r w:rsidR="00134426">
              <w:rPr>
                <w:color w:val="auto"/>
                <w:szCs w:val="24"/>
              </w:rPr>
              <w:t>ų</w:t>
            </w:r>
            <w:r w:rsidRPr="00462B39">
              <w:rPr>
                <w:color w:val="auto"/>
                <w:szCs w:val="24"/>
              </w:rPr>
              <w:t>.</w:t>
            </w:r>
          </w:p>
        </w:tc>
      </w:tr>
      <w:tr w:rsidR="009E21DF" w:rsidRPr="00462B39" w14:paraId="359B916A" w14:textId="77777777" w:rsidTr="00097EA1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0CE9A574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rPr>
                <w:color w:val="auto"/>
                <w:szCs w:val="24"/>
              </w:rPr>
            </w:pPr>
          </w:p>
        </w:tc>
        <w:tc>
          <w:tcPr>
            <w:tcW w:w="2374" w:type="dxa"/>
            <w:vMerge/>
          </w:tcPr>
          <w:p w14:paraId="7A7D111A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906" w:type="dxa"/>
            <w:vMerge/>
          </w:tcPr>
          <w:p w14:paraId="2B061AF7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14:paraId="24454DC6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113" w:type="dxa"/>
          </w:tcPr>
          <w:p w14:paraId="11C568D1" w14:textId="5B51F4F3" w:rsidR="009E21DF" w:rsidRPr="00462B39" w:rsidRDefault="009E21DF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17A12B6F" w14:textId="77777777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221EAC7D" w14:textId="03A31ACF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Darbo skelbimai tapo labiau patrauklesni skirtingų lyčių asmenims.</w:t>
            </w:r>
          </w:p>
          <w:p w14:paraId="6C19D209" w14:textId="1435FAC9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szCs w:val="24"/>
              </w:rPr>
              <w:t xml:space="preserve">Kretingos </w:t>
            </w:r>
            <w:r w:rsidRPr="00462B39">
              <w:rPr>
                <w:kern w:val="2"/>
                <w:szCs w:val="24"/>
                <w14:ligatures w14:val="standardContextual"/>
              </w:rPr>
              <w:t>rajono savivaldybės</w:t>
            </w:r>
            <w:r w:rsidRPr="00462B39">
              <w:rPr>
                <w:spacing w:val="1"/>
                <w:kern w:val="2"/>
                <w:szCs w:val="24"/>
                <w14:ligatures w14:val="standardContextual"/>
              </w:rPr>
              <w:t xml:space="preserve"> </w:t>
            </w:r>
            <w:r w:rsidRPr="00462B39">
              <w:rPr>
                <w:kern w:val="2"/>
                <w:szCs w:val="24"/>
                <w14:ligatures w14:val="standardContextual"/>
              </w:rPr>
              <w:t xml:space="preserve">administracija </w:t>
            </w:r>
            <w:r w:rsidRPr="00462B39">
              <w:rPr>
                <w:spacing w:val="-4"/>
                <w:kern w:val="2"/>
                <w:szCs w:val="24"/>
                <w14:ligatures w14:val="standardContextual"/>
              </w:rPr>
              <w:t xml:space="preserve">– </w:t>
            </w:r>
            <w:r w:rsidRPr="00462B39">
              <w:rPr>
                <w:spacing w:val="-52"/>
                <w:kern w:val="2"/>
                <w:szCs w:val="24"/>
                <w14:ligatures w14:val="standardContextual"/>
              </w:rPr>
              <w:t xml:space="preserve"> </w:t>
            </w:r>
            <w:r w:rsidR="00134426" w:rsidRPr="00462B39">
              <w:rPr>
                <w:kern w:val="2"/>
                <w:szCs w:val="24"/>
                <w14:ligatures w14:val="standardContextual"/>
              </w:rPr>
              <w:t>darbovietė</w:t>
            </w:r>
            <w:r w:rsidR="00134426" w:rsidRPr="00462B39">
              <w:rPr>
                <w:kern w:val="2"/>
                <w:szCs w:val="24"/>
                <w14:ligatures w14:val="standardContextual"/>
              </w:rPr>
              <w:t xml:space="preserve"> </w:t>
            </w:r>
            <w:r w:rsidRPr="00462B39">
              <w:rPr>
                <w:kern w:val="2"/>
                <w:szCs w:val="24"/>
                <w14:ligatures w14:val="standardContextual"/>
              </w:rPr>
              <w:t xml:space="preserve">atvira abiem lytims. </w:t>
            </w:r>
            <w:r w:rsidRPr="00462B39">
              <w:rPr>
                <w:szCs w:val="24"/>
              </w:rPr>
              <w:t>Į pareigas buvo priimti konkursą laimėję asmenys, neatsižvelgiant į lytį.</w:t>
            </w:r>
          </w:p>
        </w:tc>
      </w:tr>
      <w:tr w:rsidR="009E21DF" w:rsidRPr="00462B39" w14:paraId="5D8A54FC" w14:textId="77777777" w:rsidTr="00134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6D88934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rPr>
                <w:color w:val="auto"/>
                <w:szCs w:val="24"/>
              </w:rPr>
            </w:pPr>
          </w:p>
        </w:tc>
        <w:tc>
          <w:tcPr>
            <w:tcW w:w="2374" w:type="dxa"/>
            <w:vMerge/>
          </w:tcPr>
          <w:p w14:paraId="0C145547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906" w:type="dxa"/>
            <w:vMerge/>
          </w:tcPr>
          <w:p w14:paraId="03183FEA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14:paraId="5458B38C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113" w:type="dxa"/>
          </w:tcPr>
          <w:p w14:paraId="69ECDCE6" w14:textId="03B70086" w:rsidR="009E21DF" w:rsidRPr="00462B39" w:rsidRDefault="009E21DF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6F7045FF" w14:textId="77777777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5F305DC6" w14:textId="5E2B2FD6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szCs w:val="24"/>
              </w:rPr>
              <w:t>Diskriminuojančių reikalavimų nenustatyta, todėl nėra poreikio tobulinti.</w:t>
            </w:r>
          </w:p>
        </w:tc>
      </w:tr>
      <w:tr w:rsidR="009E21DF" w:rsidRPr="00462B39" w14:paraId="4399BFC4" w14:textId="77777777" w:rsidTr="00097EA1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7D79CD01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rPr>
                <w:color w:val="auto"/>
                <w:szCs w:val="24"/>
              </w:rPr>
            </w:pPr>
          </w:p>
        </w:tc>
        <w:tc>
          <w:tcPr>
            <w:tcW w:w="2374" w:type="dxa"/>
            <w:vMerge/>
          </w:tcPr>
          <w:p w14:paraId="44BAA51C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906" w:type="dxa"/>
            <w:vMerge/>
          </w:tcPr>
          <w:p w14:paraId="475D05DA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14:paraId="56B65E80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113" w:type="dxa"/>
          </w:tcPr>
          <w:p w14:paraId="2D543A54" w14:textId="0822F41D" w:rsidR="009E21DF" w:rsidRPr="00462B39" w:rsidRDefault="009E21DF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004AA550" w14:textId="77777777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526D3BBE" w14:textId="1911668A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szCs w:val="24"/>
              </w:rPr>
              <w:t>Reikalavimai skelbimo turiniui neapibrėžti terminais</w:t>
            </w:r>
            <w:r w:rsidR="00134426">
              <w:rPr>
                <w:szCs w:val="24"/>
              </w:rPr>
              <w:t>, todėl priemonė tęstinė ir vykdoma nuolat.</w:t>
            </w:r>
          </w:p>
        </w:tc>
      </w:tr>
      <w:tr w:rsidR="009E21DF" w:rsidRPr="00462B39" w14:paraId="7F679864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0736F283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rPr>
                <w:color w:val="auto"/>
                <w:szCs w:val="24"/>
              </w:rPr>
            </w:pPr>
          </w:p>
        </w:tc>
        <w:tc>
          <w:tcPr>
            <w:tcW w:w="2374" w:type="dxa"/>
            <w:vMerge/>
          </w:tcPr>
          <w:p w14:paraId="62025039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1906" w:type="dxa"/>
            <w:vMerge/>
          </w:tcPr>
          <w:p w14:paraId="0DCC833C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14:paraId="79D3572E" w14:textId="77777777" w:rsidR="009E21DF" w:rsidRPr="00462B39" w:rsidRDefault="009E21DF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  <w:tc>
          <w:tcPr>
            <w:tcW w:w="2113" w:type="dxa"/>
          </w:tcPr>
          <w:p w14:paraId="3BC47D5E" w14:textId="2BE1E666" w:rsidR="009E21DF" w:rsidRPr="00462B39" w:rsidRDefault="009E21DF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0D8689BE" w14:textId="77777777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68F44E2A" w14:textId="3FFBC1FE" w:rsidR="009E21DF" w:rsidRPr="00462B39" w:rsidRDefault="009E21DF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Galėtų pasinaudoti tos savivaldybės, kuriose tokia priemonė dar nebuvo taikyta.</w:t>
            </w:r>
          </w:p>
        </w:tc>
      </w:tr>
      <w:tr w:rsidR="00A6111A" w:rsidRPr="00462B39" w14:paraId="653D4610" w14:textId="77777777" w:rsidTr="00097EA1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7996986D" w14:textId="062863D5" w:rsidR="00A6111A" w:rsidRPr="00462B39" w:rsidRDefault="00A6111A" w:rsidP="00C436D2">
            <w:pPr>
              <w:spacing w:after="0" w:line="240" w:lineRule="auto"/>
              <w:ind w:left="3" w:right="58" w:firstLine="0"/>
              <w:jc w:val="center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4.</w:t>
            </w:r>
          </w:p>
        </w:tc>
        <w:tc>
          <w:tcPr>
            <w:tcW w:w="2374" w:type="dxa"/>
            <w:vMerge w:val="restart"/>
          </w:tcPr>
          <w:p w14:paraId="2162864F" w14:textId="6D490133" w:rsidR="00A6111A" w:rsidRPr="00462B39" w:rsidRDefault="00A6111A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szCs w:val="24"/>
              </w:rPr>
              <w:t>Skatinti atvirą diskusiją su iš vaiko priežiūros atostogų grįžusiais darbuotojais apie jų lūkesčius, padėti jiems integruotis darbo vietoje</w:t>
            </w:r>
          </w:p>
        </w:tc>
        <w:tc>
          <w:tcPr>
            <w:tcW w:w="1906" w:type="dxa"/>
            <w:vMerge w:val="restart"/>
          </w:tcPr>
          <w:p w14:paraId="5BC75027" w14:textId="380C4394" w:rsidR="00C436D2" w:rsidRPr="00462B39" w:rsidRDefault="00A6111A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Padalinių vadovai</w:t>
            </w:r>
          </w:p>
        </w:tc>
        <w:tc>
          <w:tcPr>
            <w:tcW w:w="2046" w:type="dxa"/>
            <w:vMerge w:val="restart"/>
          </w:tcPr>
          <w:p w14:paraId="085ABEA4" w14:textId="092E49C9" w:rsidR="00A6111A" w:rsidRPr="00462B39" w:rsidRDefault="00A6111A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szCs w:val="24"/>
              </w:rPr>
              <w:t>Sudarytos sąlygos atnaujinti savo darbo įgūdžius ir įsisavinti pasikeitimus paskiriant mentorių ar mokantis iš kitų asmenų. Greitesnė darbuotojų adaptacija ir pridėtinė vertė organizacijai.</w:t>
            </w:r>
          </w:p>
        </w:tc>
        <w:tc>
          <w:tcPr>
            <w:tcW w:w="2113" w:type="dxa"/>
          </w:tcPr>
          <w:p w14:paraId="1C503E38" w14:textId="26A43BFE" w:rsidR="00A6111A" w:rsidRPr="00462B39" w:rsidRDefault="00A6111A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 xml:space="preserve">Ar priemonė </w:t>
            </w:r>
            <w:r w:rsidRPr="00462B39">
              <w:rPr>
                <w:color w:val="auto"/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78D38E9D" w14:textId="4A25396B" w:rsidR="00A6111A" w:rsidRPr="00462B39" w:rsidRDefault="006C4CE1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Iš dalies</w:t>
            </w:r>
          </w:p>
          <w:p w14:paraId="69BE714E" w14:textId="3B9A31E3" w:rsidR="006C4CE1" w:rsidRDefault="006C4CE1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Mentorystės programa nesukurta ir neintegruota į vidaus dokumentus, mentoriai nepaskir</w:t>
            </w:r>
            <w:r w:rsidR="00134426">
              <w:rPr>
                <w:color w:val="auto"/>
                <w:szCs w:val="24"/>
              </w:rPr>
              <w:t>ti</w:t>
            </w:r>
            <w:r>
              <w:rPr>
                <w:color w:val="auto"/>
                <w:szCs w:val="24"/>
              </w:rPr>
              <w:t>.</w:t>
            </w:r>
          </w:p>
          <w:p w14:paraId="7B4486CB" w14:textId="41C62677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Grįžusiems į darbą darbuotojams buvo teikiamos paprastesnės užduotys, sudarant sąlygas susipažinti su pokyčiais ir naujovėmis.</w:t>
            </w:r>
          </w:p>
          <w:p w14:paraId="3D75A4BA" w14:textId="56DD3783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Pagal poreikį teiktos konsultacijos.</w:t>
            </w:r>
          </w:p>
        </w:tc>
      </w:tr>
      <w:tr w:rsidR="00A6111A" w:rsidRPr="00462B39" w14:paraId="48AC2698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367F876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16B37E04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7EF62D4D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4534D89C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1766B968" w14:textId="5AE0D8CE" w:rsidR="00A6111A" w:rsidRPr="00462B39" w:rsidRDefault="00A6111A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5663DE39" w14:textId="2B3A14E6" w:rsidR="00A6111A" w:rsidRPr="00462B39" w:rsidRDefault="006C4CE1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dalies</w:t>
            </w:r>
          </w:p>
          <w:p w14:paraId="7C0AE2CF" w14:textId="21FF5C47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Po mėnesio adaptacijos darbuotojai buvo pajėgūs dirbti savarankiškai.</w:t>
            </w:r>
          </w:p>
        </w:tc>
      </w:tr>
      <w:tr w:rsidR="00A6111A" w:rsidRPr="00462B39" w14:paraId="513C6BA9" w14:textId="77777777" w:rsidTr="00134426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4097755A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0D7DC94D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2DA04D04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79B75536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094CF2C1" w14:textId="3151AF06" w:rsidR="00A6111A" w:rsidRPr="00462B39" w:rsidRDefault="00A6111A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6A93DD9A" w14:textId="5C7DCE32" w:rsidR="00A6111A" w:rsidRPr="00462B39" w:rsidRDefault="006C4CE1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Iš dalies</w:t>
            </w:r>
          </w:p>
          <w:p w14:paraId="45A95B6D" w14:textId="355293EA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Manytina, kad įsiliejimas į kolektyvą buvo sklandus.</w:t>
            </w:r>
          </w:p>
          <w:p w14:paraId="658F9B0F" w14:textId="12BB768D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Darbuotojams sudarytos galimybės dirbti sutrumpintą darbo savaitę ir nuotoliniu būdu; kas mėnesį derinamas</w:t>
            </w:r>
            <w:r w:rsidR="006C4CE1">
              <w:rPr>
                <w:color w:val="auto"/>
                <w:szCs w:val="24"/>
              </w:rPr>
              <w:t xml:space="preserve"> ir</w:t>
            </w:r>
            <w:r w:rsidRPr="00462B39">
              <w:rPr>
                <w:color w:val="auto"/>
                <w:szCs w:val="24"/>
              </w:rPr>
              <w:t xml:space="preserve"> sudaromas darbo grafikas.</w:t>
            </w:r>
          </w:p>
        </w:tc>
      </w:tr>
      <w:tr w:rsidR="00A6111A" w:rsidRPr="00462B39" w14:paraId="40985384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30DD0213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29A55E5B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48219F87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4CF1C90C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2BAA461" w14:textId="469C1797" w:rsidR="00A6111A" w:rsidRPr="00462B39" w:rsidRDefault="00A6111A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6A307457" w14:textId="77777777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3C7DC917" w14:textId="5EED8363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Visa būtina pagalba, konsultacijos yra siūlomos nuolat.</w:t>
            </w:r>
          </w:p>
        </w:tc>
      </w:tr>
      <w:tr w:rsidR="00A6111A" w:rsidRPr="00462B39" w14:paraId="7783A0B3" w14:textId="77777777" w:rsidTr="00097EA1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04F76CD5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2316D589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E0ABE6A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3D37B396" w14:textId="77777777" w:rsidR="00A6111A" w:rsidRPr="00462B39" w:rsidRDefault="00A6111A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1CF15B7C" w14:textId="118AE647" w:rsidR="00A6111A" w:rsidRPr="00462B39" w:rsidRDefault="00A6111A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558D59DD" w14:textId="77777777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462B39">
              <w:rPr>
                <w:b/>
                <w:bCs/>
                <w:color w:val="auto"/>
                <w:szCs w:val="24"/>
              </w:rPr>
              <w:t>Taip</w:t>
            </w:r>
          </w:p>
          <w:p w14:paraId="3FE60CBE" w14:textId="11A2892E" w:rsidR="00A6111A" w:rsidRPr="00462B39" w:rsidRDefault="00A6111A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24"/>
              </w:rPr>
            </w:pPr>
            <w:r w:rsidRPr="00462B39">
              <w:rPr>
                <w:color w:val="auto"/>
                <w:szCs w:val="24"/>
              </w:rPr>
              <w:t>Galėtų pasinaudoti tos savivaldybės, kuriose tokia priemonė nebuvo taikyta.</w:t>
            </w:r>
          </w:p>
        </w:tc>
      </w:tr>
      <w:tr w:rsidR="00C436D2" w:rsidRPr="00462B39" w14:paraId="08867D32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6946A5BB" w14:textId="2D2713D5" w:rsidR="00C436D2" w:rsidRPr="00462B39" w:rsidRDefault="00C436D2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t>5.</w:t>
            </w:r>
          </w:p>
        </w:tc>
        <w:tc>
          <w:tcPr>
            <w:tcW w:w="2374" w:type="dxa"/>
            <w:vMerge w:val="restart"/>
          </w:tcPr>
          <w:p w14:paraId="5650D9FD" w14:textId="6444234C" w:rsidR="00C436D2" w:rsidRPr="00462B39" w:rsidRDefault="00C436D2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szCs w:val="24"/>
              </w:rPr>
              <w:t>Informuoti Kretingos rajono gyventojus ir savivaldybės administracijos darbuotojus lygių galimybių klausimais</w:t>
            </w:r>
          </w:p>
        </w:tc>
        <w:tc>
          <w:tcPr>
            <w:tcW w:w="1906" w:type="dxa"/>
            <w:vMerge w:val="restart"/>
          </w:tcPr>
          <w:p w14:paraId="4E39E034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Darbuotojas, atsakingas už lygių galimybių, moterų ir vyrų lygių galimybių įstatymų įgyvendinimą, stebėseną, koordinavimą ir atlikimą;</w:t>
            </w:r>
          </w:p>
          <w:p w14:paraId="76C79DB1" w14:textId="1D5B178A" w:rsidR="00C436D2" w:rsidRPr="00462B39" w:rsidRDefault="00C436D2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szCs w:val="24"/>
              </w:rPr>
              <w:t>Viešųjų ryšių specialistas</w:t>
            </w:r>
          </w:p>
        </w:tc>
        <w:tc>
          <w:tcPr>
            <w:tcW w:w="2046" w:type="dxa"/>
            <w:vMerge w:val="restart"/>
          </w:tcPr>
          <w:p w14:paraId="62F986E2" w14:textId="350B0FCF" w:rsidR="00C436D2" w:rsidRPr="00462B39" w:rsidRDefault="00C436D2" w:rsidP="00C436D2">
            <w:pPr>
              <w:spacing w:after="0" w:line="240" w:lineRule="auto"/>
              <w:ind w:right="14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Parengta ir</w:t>
            </w:r>
            <w:r w:rsidRPr="00462B39">
              <w:rPr>
                <w:b/>
                <w:bCs/>
                <w:szCs w:val="24"/>
              </w:rPr>
              <w:t xml:space="preserve"> </w:t>
            </w:r>
            <w:r w:rsidRPr="00462B39">
              <w:rPr>
                <w:szCs w:val="24"/>
              </w:rPr>
              <w:t>viešinama informacija lygių galimybių, moterų ir vyrų lygybės, nediskriminavimo temomis</w:t>
            </w:r>
          </w:p>
        </w:tc>
        <w:tc>
          <w:tcPr>
            <w:tcW w:w="2113" w:type="dxa"/>
          </w:tcPr>
          <w:p w14:paraId="19B88869" w14:textId="64D96B3A" w:rsidR="00C436D2" w:rsidRPr="00462B39" w:rsidRDefault="00C436D2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076F0C63" w14:textId="0409BC57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2B9AFED1" w14:textId="77777777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Savivaldybės interneto svetainės skiltyje „Lygių galimybių politika“ paskelbti 3 informaciniai pranešimai lygių galimybių tema.</w:t>
            </w:r>
          </w:p>
          <w:p w14:paraId="252E9E95" w14:textId="735A61A4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Nuolat atnaujinama statistinė informacija apie vyrų ir moterų pasiskirstymą pagal lytį bei užimamas vadovaujamas pareigas.</w:t>
            </w:r>
          </w:p>
        </w:tc>
      </w:tr>
      <w:tr w:rsidR="00C436D2" w:rsidRPr="00462B39" w14:paraId="30DF746C" w14:textId="77777777" w:rsidTr="00097EA1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5CCD6B51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F9AE9AD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503773B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7101BCB1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6AB0BD39" w14:textId="0F154596" w:rsidR="00C436D2" w:rsidRPr="00462B39" w:rsidRDefault="00C436D2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38DFA32B" w14:textId="7F4A5936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6206906C" w14:textId="1B0D0C38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Parengta informacija paskelbta ir viešinama.</w:t>
            </w:r>
          </w:p>
        </w:tc>
      </w:tr>
      <w:tr w:rsidR="00C436D2" w:rsidRPr="00462B39" w14:paraId="2E33B2E7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2583A47B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649C3DF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16EC1CE7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7B1D8A0E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37462782" w14:textId="34EBEF2D" w:rsidR="00C436D2" w:rsidRPr="00462B39" w:rsidRDefault="00C436D2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2506357C" w14:textId="624D767C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266FE868" w14:textId="4F7BC554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Informacija buvo aktualizuota ir atnaujinta.</w:t>
            </w:r>
          </w:p>
        </w:tc>
      </w:tr>
      <w:tr w:rsidR="00C436D2" w:rsidRPr="00462B39" w14:paraId="185C5E0F" w14:textId="77777777" w:rsidTr="00097EA1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7DEFE724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77834111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1642616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7A15C5AC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304D53B8" w14:textId="64494694" w:rsidR="00C436D2" w:rsidRPr="00462B39" w:rsidRDefault="00C436D2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1DE9EAB5" w14:textId="50C75547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61D08A74" w14:textId="18C61227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Priemonė bus tęsiama</w:t>
            </w:r>
            <w:r w:rsidR="00134426">
              <w:rPr>
                <w:szCs w:val="24"/>
              </w:rPr>
              <w:t xml:space="preserve"> nuolat</w:t>
            </w:r>
            <w:r w:rsidRPr="00462B39">
              <w:rPr>
                <w:szCs w:val="24"/>
              </w:rPr>
              <w:t>.</w:t>
            </w:r>
          </w:p>
        </w:tc>
      </w:tr>
      <w:tr w:rsidR="00C436D2" w:rsidRPr="00462B39" w14:paraId="0A000C2B" w14:textId="77777777" w:rsidTr="00134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7B3C1CA7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C241BF1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2050CE56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57086E4A" w14:textId="77777777" w:rsidR="00C436D2" w:rsidRPr="00462B39" w:rsidRDefault="00C436D2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97BFDCC" w14:textId="24A3327E" w:rsidR="00C436D2" w:rsidRPr="00462B39" w:rsidRDefault="00C436D2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113776E0" w14:textId="59845974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502A8368" w14:textId="6A258064" w:rsidR="00C436D2" w:rsidRPr="00462B39" w:rsidRDefault="00C436D2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Galėtų pasinaudoti, jei iki šiol kuri nors savivaldybė neviešino informacijos lygių galimybių srityje.</w:t>
            </w:r>
          </w:p>
        </w:tc>
      </w:tr>
      <w:tr w:rsidR="00C12D32" w:rsidRPr="00462B39" w14:paraId="3D47716D" w14:textId="77777777" w:rsidTr="00097EA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237512DE" w14:textId="1CFA4D61" w:rsidR="00494DD7" w:rsidRPr="00462B39" w:rsidRDefault="00494DD7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t>6.</w:t>
            </w:r>
          </w:p>
        </w:tc>
        <w:tc>
          <w:tcPr>
            <w:tcW w:w="2374" w:type="dxa"/>
            <w:vMerge w:val="restart"/>
          </w:tcPr>
          <w:p w14:paraId="5D619C0C" w14:textId="71CBC1F3" w:rsidR="00494DD7" w:rsidRPr="00462B39" w:rsidRDefault="006D39D4" w:rsidP="00C436D2">
            <w:pPr>
              <w:widowControl w:val="0"/>
              <w:tabs>
                <w:tab w:val="left" w:pos="930"/>
                <w:tab w:val="left" w:pos="1739"/>
                <w:tab w:val="left" w:pos="10206"/>
                <w:tab w:val="left" w:pos="10773"/>
              </w:tabs>
              <w:spacing w:after="0" w:line="240" w:lineRule="auto"/>
              <w:ind w:right="9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szCs w:val="24"/>
              </w:rPr>
              <w:t>Pasiūlyti Savivaldybės rėmimo (finansavimo) programose numatyti lygių galimybių kriterijus / kryptis</w:t>
            </w:r>
          </w:p>
        </w:tc>
        <w:tc>
          <w:tcPr>
            <w:tcW w:w="1906" w:type="dxa"/>
            <w:vMerge w:val="restart"/>
          </w:tcPr>
          <w:p w14:paraId="0ED135E3" w14:textId="77777777" w:rsidR="006D39D4" w:rsidRPr="00462B39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Savivaldybės</w:t>
            </w:r>
          </w:p>
          <w:p w14:paraId="0B0D042F" w14:textId="77777777" w:rsidR="006D39D4" w:rsidRPr="00462B39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administracijos</w:t>
            </w:r>
          </w:p>
          <w:p w14:paraId="13CB59F7" w14:textId="77777777" w:rsidR="00134426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direktorius</w:t>
            </w:r>
          </w:p>
          <w:p w14:paraId="728BFDD1" w14:textId="77777777" w:rsidR="00134426" w:rsidRDefault="00134426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D6633D4" w14:textId="7B471F62" w:rsidR="006D39D4" w:rsidRPr="00462B39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Padalinių vadovai,</w:t>
            </w:r>
          </w:p>
          <w:p w14:paraId="24DEFAB3" w14:textId="77777777" w:rsidR="006D39D4" w:rsidRPr="00462B39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darbuotojai</w:t>
            </w:r>
          </w:p>
          <w:p w14:paraId="19445EBA" w14:textId="77777777" w:rsidR="006D39D4" w:rsidRPr="00462B39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nepriklausantys</w:t>
            </w:r>
          </w:p>
          <w:p w14:paraId="04AC6A8E" w14:textId="6EF2B3CC" w:rsidR="00494DD7" w:rsidRPr="00462B39" w:rsidRDefault="006D39D4" w:rsidP="00C436D2">
            <w:pPr>
              <w:tabs>
                <w:tab w:val="left" w:pos="10206"/>
                <w:tab w:val="left" w:pos="10773"/>
              </w:tabs>
              <w:spacing w:after="0" w:line="240" w:lineRule="auto"/>
              <w:ind w:right="12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skyriams</w:t>
            </w:r>
          </w:p>
        </w:tc>
        <w:tc>
          <w:tcPr>
            <w:tcW w:w="2046" w:type="dxa"/>
            <w:vMerge w:val="restart"/>
          </w:tcPr>
          <w:p w14:paraId="6580762B" w14:textId="181ED45D" w:rsidR="00494DD7" w:rsidRPr="00462B39" w:rsidRDefault="006D39D4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Pateiktas 1 pasiūlymas 2025</w:t>
            </w:r>
            <w:r w:rsidR="00134426">
              <w:rPr>
                <w:szCs w:val="24"/>
              </w:rPr>
              <w:t> </w:t>
            </w:r>
            <w:r w:rsidRPr="00462B39">
              <w:rPr>
                <w:szCs w:val="24"/>
              </w:rPr>
              <w:t>m. (kriterijus ar kryptis)</w:t>
            </w:r>
          </w:p>
        </w:tc>
        <w:tc>
          <w:tcPr>
            <w:tcW w:w="2113" w:type="dxa"/>
          </w:tcPr>
          <w:p w14:paraId="0C422C63" w14:textId="22EF8AB7" w:rsidR="00494DD7" w:rsidRPr="00462B39" w:rsidRDefault="00494DD7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78BE72CF" w14:textId="2B71513C" w:rsidR="00494DD7" w:rsidRPr="00462B39" w:rsidRDefault="006D39D4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</w:tc>
      </w:tr>
      <w:tr w:rsidR="00C12D32" w:rsidRPr="00462B39" w14:paraId="1DDE7C29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4CE977DA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33A7D371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48676972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42451A9F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01B284A" w14:textId="65F5D4BF" w:rsidR="00494DD7" w:rsidRPr="00462B39" w:rsidRDefault="00494DD7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79ED40DE" w14:textId="419EAB3F" w:rsidR="00494DD7" w:rsidRPr="00462B39" w:rsidRDefault="006D39D4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</w:tc>
      </w:tr>
      <w:tr w:rsidR="00C12D32" w:rsidRPr="00462B39" w14:paraId="7F45C64D" w14:textId="77777777" w:rsidTr="00097EA1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5CD8A4FC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7E3E4803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65D8D95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3E0D5596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209927C5" w14:textId="7B7F83F2" w:rsidR="00494DD7" w:rsidRPr="00462B39" w:rsidRDefault="00494DD7" w:rsidP="00C436D2">
            <w:pPr>
              <w:spacing w:after="0" w:line="240" w:lineRule="auto"/>
              <w:ind w:left="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46EFF98F" w14:textId="68FDFF81" w:rsidR="00494DD7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</w:tc>
      </w:tr>
      <w:tr w:rsidR="00C12D32" w:rsidRPr="00462B39" w14:paraId="4CCB749E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6CD1FA7F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E83D58B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2A415A1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5BDE9D0D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063BD438" w14:textId="7FDD1891" w:rsidR="00494DD7" w:rsidRPr="00462B39" w:rsidRDefault="00494DD7" w:rsidP="00C436D2">
            <w:pPr>
              <w:spacing w:after="0" w:line="240" w:lineRule="auto"/>
              <w:ind w:left="3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0DD77E2B" w14:textId="62757B87" w:rsidR="00494DD7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3E8343C3" w14:textId="7EA0B532" w:rsidR="00494DD7" w:rsidRPr="00462B39" w:rsidRDefault="006D39D4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Priemonė turėtų būti įgyvendinama ir 2026 metais.</w:t>
            </w:r>
          </w:p>
        </w:tc>
      </w:tr>
      <w:tr w:rsidR="00C12D32" w:rsidRPr="00462B39" w14:paraId="2C4B8EC9" w14:textId="77777777" w:rsidTr="00097EA1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035161F0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6426F047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44DCC78F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64E09BC7" w14:textId="77777777" w:rsidR="00494DD7" w:rsidRPr="00462B39" w:rsidRDefault="00494DD7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17C5118A" w14:textId="053B2C3F" w:rsidR="00494DD7" w:rsidRPr="00462B39" w:rsidRDefault="00494DD7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2465EBBB" w14:textId="16434651" w:rsidR="00494DD7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20605FE5" w14:textId="10C17510" w:rsidR="006D39D4" w:rsidRPr="00462B39" w:rsidRDefault="00494DD7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Galėtų, jei </w:t>
            </w:r>
            <w:r w:rsidR="006D39D4" w:rsidRPr="00462B39">
              <w:rPr>
                <w:szCs w:val="24"/>
              </w:rPr>
              <w:t>būtų užtikrinamas lygių galimybių principo įgyvendinimas, vertinant pateiktus projektus būtų reikšmingai atsižvelgta į lygių galimybių užtikrinimo kriterijus.</w:t>
            </w:r>
          </w:p>
        </w:tc>
      </w:tr>
      <w:tr w:rsidR="000371DB" w:rsidRPr="00462B39" w14:paraId="0AF91426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749412B1" w14:textId="1FD592F7" w:rsidR="000371DB" w:rsidRPr="00462B39" w:rsidRDefault="000371DB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t>7.</w:t>
            </w:r>
          </w:p>
        </w:tc>
        <w:tc>
          <w:tcPr>
            <w:tcW w:w="2374" w:type="dxa"/>
            <w:vMerge w:val="restart"/>
          </w:tcPr>
          <w:p w14:paraId="3BFDD519" w14:textId="73051255" w:rsidR="000371DB" w:rsidRPr="00462B39" w:rsidRDefault="000371DB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Parengti išorinės komunikacijos gaires.</w:t>
            </w:r>
          </w:p>
          <w:p w14:paraId="13E4EE29" w14:textId="77777777" w:rsidR="000371DB" w:rsidRPr="00462B39" w:rsidRDefault="000371DB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6F9E16CB" w14:textId="53947C0C" w:rsidR="000371DB" w:rsidRPr="00462B39" w:rsidRDefault="000371DB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Parengti rekomendacijas dėl prieinamų šriftų elektroniniuose laiškuose naudojimo.</w:t>
            </w:r>
          </w:p>
        </w:tc>
        <w:tc>
          <w:tcPr>
            <w:tcW w:w="1906" w:type="dxa"/>
            <w:vMerge w:val="restart"/>
          </w:tcPr>
          <w:p w14:paraId="35A25608" w14:textId="77777777" w:rsidR="000371DB" w:rsidRPr="00462B39" w:rsidRDefault="000371DB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Viešųjų ryšių specialistas</w:t>
            </w:r>
          </w:p>
          <w:p w14:paraId="2FCB305F" w14:textId="77777777" w:rsidR="000371DB" w:rsidRPr="00462B39" w:rsidRDefault="000371DB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1EDD6BC0" w14:textId="210B8095" w:rsidR="000371DB" w:rsidRPr="00462B39" w:rsidRDefault="000371DB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Informacinių technologijų skyrius</w:t>
            </w:r>
          </w:p>
        </w:tc>
        <w:tc>
          <w:tcPr>
            <w:tcW w:w="2046" w:type="dxa"/>
            <w:vMerge w:val="restart"/>
          </w:tcPr>
          <w:p w14:paraId="514FBFB7" w14:textId="77777777" w:rsidR="000371DB" w:rsidRPr="006D39D4" w:rsidRDefault="000371DB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D39D4">
              <w:rPr>
                <w:szCs w:val="24"/>
              </w:rPr>
              <w:t>Parengtos išorinės komunikacijos gairės</w:t>
            </w:r>
          </w:p>
          <w:p w14:paraId="7B7A9FBA" w14:textId="77777777" w:rsidR="000371DB" w:rsidRPr="006D39D4" w:rsidRDefault="000371DB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2F7B5DEC" w14:textId="5DA1647E" w:rsidR="000371DB" w:rsidRPr="00462B39" w:rsidRDefault="000371DB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Visi darbuotojai supažindinti su prieinamų šriftų el. laiškuose naudojimu.</w:t>
            </w:r>
          </w:p>
        </w:tc>
        <w:tc>
          <w:tcPr>
            <w:tcW w:w="2113" w:type="dxa"/>
          </w:tcPr>
          <w:p w14:paraId="2ACEF0EA" w14:textId="31929EE9" w:rsidR="000371DB" w:rsidRPr="00462B39" w:rsidRDefault="000371DB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71BAFA4F" w14:textId="77777777" w:rsidR="000371DB" w:rsidRPr="00462B39" w:rsidRDefault="000371DB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35BEF67A" w14:textId="301E2C67" w:rsidR="000371DB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Parengtos išorinės komunikacijos gairės, su kuriomis supažindinti visi Administracijos darbuotojai, priemonė taikoma kasdien komunikacijoje.</w:t>
            </w:r>
            <w:r w:rsidR="00EE7D6E">
              <w:rPr>
                <w:szCs w:val="24"/>
              </w:rPr>
              <w:t xml:space="preserve"> </w:t>
            </w:r>
            <w:r w:rsidR="00EE7D6E" w:rsidRPr="00EE7D6E">
              <w:rPr>
                <w:szCs w:val="24"/>
              </w:rPr>
              <w:t>Informacija dalintasi Savivaldybės puslapyje ir „Facebook“ paskyroje</w:t>
            </w:r>
            <w:r w:rsidR="00EE7D6E">
              <w:rPr>
                <w:szCs w:val="24"/>
              </w:rPr>
              <w:t>.</w:t>
            </w:r>
          </w:p>
          <w:p w14:paraId="4CBF1948" w14:textId="77777777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5594D52E" w14:textId="77777777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  <w:p w14:paraId="5FFD141A" w14:textId="572BFD39" w:rsidR="00CF68F5" w:rsidRPr="00253997" w:rsidRDefault="00CF68F5" w:rsidP="00253997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462B39">
              <w:rPr>
                <w:szCs w:val="24"/>
              </w:rPr>
              <w:t>Rekomendacijos</w:t>
            </w:r>
            <w:r w:rsidR="00253997">
              <w:rPr>
                <w:szCs w:val="24"/>
              </w:rPr>
              <w:t xml:space="preserve">, atitinkančios </w:t>
            </w:r>
            <w:hyperlink r:id="rId9" w:history="1">
              <w:r w:rsidR="00253997" w:rsidRPr="00253997">
                <w:rPr>
                  <w:rStyle w:val="Hipersaitas"/>
                  <w:szCs w:val="24"/>
                </w:rPr>
                <w:t>Informacijos teikimo asmenims su negalia jų pasirinktais prieinamais bendravimo būdais rekomendacijų 4 priedo</w:t>
              </w:r>
            </w:hyperlink>
            <w:r w:rsidR="00253997">
              <w:rPr>
                <w:szCs w:val="24"/>
              </w:rPr>
              <w:t xml:space="preserve"> nuostatas, neparengtos.</w:t>
            </w:r>
          </w:p>
        </w:tc>
      </w:tr>
      <w:tr w:rsidR="00CF68F5" w:rsidRPr="00462B39" w14:paraId="66AAD4F6" w14:textId="77777777" w:rsidTr="00CE39D5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0869C19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171F1798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1ED8D1A7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7EEFA651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4ACC6989" w14:textId="4ABE86CC" w:rsidR="00CF68F5" w:rsidRPr="00462B39" w:rsidRDefault="00CF68F5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14846C46" w14:textId="2AC58BE9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301077ED" w14:textId="109A268A" w:rsidR="00CF68F5" w:rsidRPr="00462B39" w:rsidRDefault="00CF68F5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Viešoji informacija teikiama naudojant įtraukios komunikacijos priemones, taikant lyčiai jautrios kalbos principus</w:t>
            </w:r>
            <w:r w:rsidR="00EE7D6E">
              <w:rPr>
                <w:szCs w:val="24"/>
              </w:rPr>
              <w:t>.</w:t>
            </w:r>
          </w:p>
          <w:p w14:paraId="37048825" w14:textId="77777777" w:rsidR="00EE7D6E" w:rsidRPr="00EE7D6E" w:rsidRDefault="00EE7D6E" w:rsidP="00EE7D6E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1EF98D34" w14:textId="76CD4E6C" w:rsidR="00CF68F5" w:rsidRPr="00462B39" w:rsidRDefault="00CF68F5" w:rsidP="00C436D2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</w:tc>
      </w:tr>
      <w:tr w:rsidR="00CF68F5" w:rsidRPr="00462B39" w14:paraId="02B70ABF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42B8CFBD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7064E7E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57FE0087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46672331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DBDFB12" w14:textId="3B7622FE" w:rsidR="00CF68F5" w:rsidRPr="00462B39" w:rsidRDefault="00CF68F5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25309CB4" w14:textId="77777777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Ne</w:t>
            </w:r>
          </w:p>
          <w:p w14:paraId="7C55CD6F" w14:textId="1FD86B3F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Priemonė tik pradėta taikyti, todėl </w:t>
            </w:r>
            <w:r w:rsidR="00CE39D5" w:rsidRPr="00462B39">
              <w:rPr>
                <w:szCs w:val="24"/>
              </w:rPr>
              <w:t>poreikio</w:t>
            </w:r>
            <w:r w:rsidR="00CE39D5" w:rsidRPr="00462B39">
              <w:rPr>
                <w:szCs w:val="24"/>
              </w:rPr>
              <w:t xml:space="preserve"> </w:t>
            </w:r>
            <w:r w:rsidRPr="00462B39">
              <w:rPr>
                <w:szCs w:val="24"/>
              </w:rPr>
              <w:t>tobulin</w:t>
            </w:r>
            <w:r w:rsidR="00CE39D5">
              <w:rPr>
                <w:szCs w:val="24"/>
              </w:rPr>
              <w:t>ti</w:t>
            </w:r>
            <w:r w:rsidRPr="00462B39">
              <w:rPr>
                <w:szCs w:val="24"/>
              </w:rPr>
              <w:t xml:space="preserve"> nebuvo.</w:t>
            </w:r>
          </w:p>
        </w:tc>
      </w:tr>
      <w:tr w:rsidR="00CF68F5" w:rsidRPr="00462B39" w14:paraId="38ED0C54" w14:textId="77777777" w:rsidTr="00097EA1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4323F8C2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560B0D3C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10790B7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1A476EC3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4170DDBF" w14:textId="4302D75E" w:rsidR="00CF68F5" w:rsidRPr="00462B39" w:rsidRDefault="00CF68F5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47209169" w14:textId="77777777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1154AA91" w14:textId="41CC566F" w:rsidR="00CF68F5" w:rsidRDefault="00EE7D6E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E7D6E">
              <w:rPr>
                <w:szCs w:val="24"/>
              </w:rPr>
              <w:t>Išorinėmis komunikacijos gairėmis rekomenduojama vadovautis nuolat</w:t>
            </w:r>
            <w:r>
              <w:rPr>
                <w:szCs w:val="24"/>
              </w:rPr>
              <w:t>.</w:t>
            </w:r>
          </w:p>
          <w:p w14:paraId="021C2615" w14:textId="77777777" w:rsidR="00EE7D6E" w:rsidRPr="00462B39" w:rsidRDefault="00EE7D6E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23D9ABD" w14:textId="77777777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21F7C27D" w14:textId="13E7917B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53997">
              <w:rPr>
                <w:color w:val="auto"/>
                <w:szCs w:val="24"/>
              </w:rPr>
              <w:t xml:space="preserve">Priemonė turėtų būti taikoma siekiant užtikrinti informacijos prieinamumą </w:t>
            </w:r>
            <w:r w:rsidR="00253997" w:rsidRPr="00253997">
              <w:rPr>
                <w:color w:val="auto"/>
                <w:szCs w:val="24"/>
              </w:rPr>
              <w:t>visoms socialinėms grupėms, nediskriminuojant asmenų su negalia.</w:t>
            </w:r>
          </w:p>
        </w:tc>
      </w:tr>
      <w:tr w:rsidR="00CF68F5" w:rsidRPr="00462B39" w14:paraId="2AF58FE5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78FEC0F6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603DA463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7D85018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0085724D" w14:textId="77777777" w:rsidR="00CF68F5" w:rsidRPr="00462B39" w:rsidRDefault="00CF68F5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1A7EB5B0" w14:textId="11FC65B1" w:rsidR="00CF68F5" w:rsidRPr="00462B39" w:rsidRDefault="00CF68F5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06806F43" w14:textId="77777777" w:rsidR="00CF68F5" w:rsidRPr="00462B39" w:rsidRDefault="00CF68F5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0A0CDFE2" w14:textId="0DC96DB5" w:rsidR="00CF68F5" w:rsidRPr="00462B39" w:rsidRDefault="00EE7D6E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Kiekviena organizacija turėtų vadovautis lyčiai jautrios komunikacijos gairėmis, formuodama savo komunikacijos strategiją ir įvaizdį visuomenėje.</w:t>
            </w:r>
          </w:p>
        </w:tc>
      </w:tr>
      <w:tr w:rsidR="00462B39" w:rsidRPr="00462B39" w14:paraId="75B78D9C" w14:textId="77777777" w:rsidTr="00097EA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128EAF43" w14:textId="17D4E49C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t>8.</w:t>
            </w:r>
          </w:p>
        </w:tc>
        <w:tc>
          <w:tcPr>
            <w:tcW w:w="2374" w:type="dxa"/>
            <w:vMerge w:val="restart"/>
          </w:tcPr>
          <w:p w14:paraId="06E65BD5" w14:textId="1F65D6BC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Infrastruktūros pritaikymas darbuotojams su negalia. Taip pat vyresnio amžiaus asmenims ir kitiems darbuotojams, kurie susiduria su įvairiais iššūkiais darbe</w:t>
            </w:r>
          </w:p>
        </w:tc>
        <w:tc>
          <w:tcPr>
            <w:tcW w:w="1906" w:type="dxa"/>
            <w:vMerge w:val="restart"/>
          </w:tcPr>
          <w:p w14:paraId="4A661E8F" w14:textId="4C9723F5" w:rsid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Padalinių vadovai</w:t>
            </w:r>
          </w:p>
          <w:p w14:paraId="2AEAC855" w14:textId="77777777" w:rsidR="00CE39D5" w:rsidRPr="00462B39" w:rsidRDefault="00CE39D5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E5DC096" w14:textId="4AAF32E2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Ūkio tarnyba</w:t>
            </w:r>
          </w:p>
        </w:tc>
        <w:tc>
          <w:tcPr>
            <w:tcW w:w="2046" w:type="dxa"/>
            <w:vMerge w:val="restart"/>
          </w:tcPr>
          <w:p w14:paraId="7DB21BE5" w14:textId="55A46932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Patogi ir palanki darbo aplinka. Gerėjanti vidinė organizacinė kultūra, didinanti darbuotojų lojalumą, stiprėjanti darbuotojų emocinė gerovė</w:t>
            </w:r>
          </w:p>
        </w:tc>
        <w:tc>
          <w:tcPr>
            <w:tcW w:w="2113" w:type="dxa"/>
          </w:tcPr>
          <w:p w14:paraId="34E5257D" w14:textId="2D2F66F6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19715F11" w14:textId="77777777" w:rsidR="00462B39" w:rsidRDefault="00462B39" w:rsidP="00462B39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1FBEBFA5" w14:textId="5E5FD97F" w:rsidR="006C4CE1" w:rsidRDefault="006C4CE1" w:rsidP="00462B39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C4CE1">
              <w:rPr>
                <w:szCs w:val="24"/>
              </w:rPr>
              <w:t>Užtikrin</w:t>
            </w:r>
            <w:r>
              <w:rPr>
                <w:szCs w:val="24"/>
              </w:rPr>
              <w:t>ant</w:t>
            </w:r>
            <w:r w:rsidRPr="006C4CE1">
              <w:rPr>
                <w:szCs w:val="24"/>
              </w:rPr>
              <w:t xml:space="preserve"> palankias darbo sąlygas vasaros laikotarpiu </w:t>
            </w:r>
            <w:r>
              <w:rPr>
                <w:szCs w:val="24"/>
              </w:rPr>
              <w:t xml:space="preserve">Administracijos darbuotojai naudojosi </w:t>
            </w:r>
            <w:r w:rsidRPr="006C4CE1">
              <w:rPr>
                <w:szCs w:val="24"/>
              </w:rPr>
              <w:t>lanksčiu darbo grafiku</w:t>
            </w:r>
            <w:r>
              <w:rPr>
                <w:szCs w:val="24"/>
              </w:rPr>
              <w:t>.</w:t>
            </w:r>
          </w:p>
          <w:p w14:paraId="3D456E1B" w14:textId="7ACAFCAC" w:rsidR="006C4CE1" w:rsidRPr="006C4CE1" w:rsidRDefault="006C4CE1" w:rsidP="006C4CE1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Administracijos skyriuose </w:t>
            </w:r>
            <w:r w:rsidRPr="006C4CE1">
              <w:rPr>
                <w:szCs w:val="24"/>
              </w:rPr>
              <w:t>nuosekliai formuojama įtrauki darbo ir administravimo kultūra, atsižvelgiant į skirtingų socialinių grupių poreikius</w:t>
            </w:r>
            <w:r>
              <w:rPr>
                <w:szCs w:val="24"/>
              </w:rPr>
              <w:t>, u</w:t>
            </w:r>
            <w:r w:rsidRPr="006C4CE1">
              <w:rPr>
                <w:szCs w:val="24"/>
              </w:rPr>
              <w:t>žtikrinamos palankios, saugios ir patogios darbo sąlygos visiems darbuotojams.</w:t>
            </w:r>
          </w:p>
          <w:p w14:paraId="5259AAF7" w14:textId="2E94DF04" w:rsidR="006C4CE1" w:rsidRPr="006C4CE1" w:rsidRDefault="006C4CE1" w:rsidP="006C4CE1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C4CE1">
              <w:rPr>
                <w:szCs w:val="24"/>
              </w:rPr>
              <w:t>Priemonė įgyvendinama nuolat, o jos taikymas prisideda prie gerėjančios vidinės</w:t>
            </w:r>
            <w:r>
              <w:rPr>
                <w:szCs w:val="24"/>
              </w:rPr>
              <w:t xml:space="preserve"> organizacijos</w:t>
            </w:r>
            <w:r w:rsidRPr="006C4CE1">
              <w:rPr>
                <w:szCs w:val="24"/>
              </w:rPr>
              <w:t xml:space="preserve"> kultūros, didesnio darbuotojų lojalumo ir stiprėjančios emocinės gerovės.</w:t>
            </w:r>
          </w:p>
          <w:p w14:paraId="2D38C3E2" w14:textId="4B387DF7" w:rsidR="00462B39" w:rsidRDefault="0021153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Administracijos darbuotojai pagal pateiktą poreikį</w:t>
            </w:r>
            <w:r w:rsidRPr="0021153F">
              <w:rPr>
                <w:szCs w:val="24"/>
              </w:rPr>
              <w:t xml:space="preserve"> buvo aprūpinti ergonominėmis kėdėmis.</w:t>
            </w:r>
            <w:r>
              <w:rPr>
                <w:szCs w:val="24"/>
              </w:rPr>
              <w:t xml:space="preserve"> Asmenims su negalia pritaikyta Savivaldybės posėdžių salės tribūna, užtikrinant galimybę patogiai ir oriai vykdyti darbo funkcijas.</w:t>
            </w:r>
          </w:p>
          <w:p w14:paraId="55DC0BA5" w14:textId="04481553" w:rsidR="0021153F" w:rsidRPr="00462B39" w:rsidRDefault="0021153F" w:rsidP="0021153F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Asmeniui su negalia sudarytos sąlygos naudotis pritaikytu asmeniniu automobiliu darbo funkcijoms vykdyti, kompensuojamos </w:t>
            </w:r>
            <w:r w:rsidRPr="0021153F">
              <w:rPr>
                <w:szCs w:val="24"/>
              </w:rPr>
              <w:t>kuro</w:t>
            </w:r>
            <w:r>
              <w:rPr>
                <w:szCs w:val="24"/>
              </w:rPr>
              <w:t xml:space="preserve"> išlaidos</w:t>
            </w:r>
            <w:r w:rsidRPr="0021153F">
              <w:rPr>
                <w:szCs w:val="24"/>
              </w:rPr>
              <w:t xml:space="preserve">. </w:t>
            </w:r>
            <w:r>
              <w:rPr>
                <w:szCs w:val="24"/>
              </w:rPr>
              <w:t>P</w:t>
            </w:r>
            <w:r w:rsidRPr="0021153F">
              <w:rPr>
                <w:szCs w:val="24"/>
              </w:rPr>
              <w:t xml:space="preserve">oreikis dirbti prie </w:t>
            </w:r>
            <w:r>
              <w:rPr>
                <w:szCs w:val="24"/>
              </w:rPr>
              <w:t xml:space="preserve">ergonominių </w:t>
            </w:r>
            <w:r w:rsidRPr="0021153F">
              <w:rPr>
                <w:szCs w:val="24"/>
              </w:rPr>
              <w:t>reguliuojamo aukščio stal</w:t>
            </w:r>
            <w:r>
              <w:rPr>
                <w:szCs w:val="24"/>
              </w:rPr>
              <w:t>ų pateiktas Ūkio tarnybai.</w:t>
            </w:r>
          </w:p>
        </w:tc>
      </w:tr>
      <w:tr w:rsidR="00462B39" w:rsidRPr="00462B39" w14:paraId="21779707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1DC07D41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7C91E985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4B89B64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392DF969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33C5FFD2" w14:textId="4CAC7FDC" w:rsidR="00462B39" w:rsidRPr="00462B39" w:rsidRDefault="00462B39" w:rsidP="00462B39">
            <w:pPr>
              <w:ind w:left="2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B39">
              <w:t>Ar priemonė turėjo tokį poveikį, kurio buvo siekiama?</w:t>
            </w:r>
          </w:p>
        </w:tc>
        <w:tc>
          <w:tcPr>
            <w:tcW w:w="6063" w:type="dxa"/>
          </w:tcPr>
          <w:p w14:paraId="2D58DD41" w14:textId="77777777" w:rsidR="00462B39" w:rsidRPr="00462B39" w:rsidRDefault="00462B39" w:rsidP="0021153F">
            <w:pPr>
              <w:spacing w:line="240" w:lineRule="auto"/>
              <w:ind w:left="2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62B39">
              <w:rPr>
                <w:b/>
                <w:bCs/>
              </w:rPr>
              <w:t>Taip</w:t>
            </w:r>
          </w:p>
          <w:p w14:paraId="4DF3EA7D" w14:textId="14878138" w:rsidR="00462B39" w:rsidRPr="00462B39" w:rsidRDefault="0021153F" w:rsidP="0021153F">
            <w:pPr>
              <w:spacing w:line="240" w:lineRule="auto"/>
              <w:ind w:left="2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Administracijos darbuotojams sudarytos sveikatai palankios sąlygos darbo vietoje, iš dalies užtikrintas vidaus infrastruktūros prieinamumas asmenims su negalia.</w:t>
            </w:r>
          </w:p>
        </w:tc>
      </w:tr>
      <w:tr w:rsidR="00462B39" w:rsidRPr="00462B39" w14:paraId="7F3D4EE2" w14:textId="77777777" w:rsidTr="00097EA1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03E9A450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35515074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B883F3F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04EF03D8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60733289" w14:textId="772FAEB0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4302B08F" w14:textId="77777777" w:rsidR="00462B39" w:rsidRDefault="0021153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</w:t>
            </w:r>
          </w:p>
          <w:p w14:paraId="3E668D08" w14:textId="21E1FB9A" w:rsidR="0021153F" w:rsidRPr="0021153F" w:rsidRDefault="0021153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1153F">
              <w:rPr>
                <w:szCs w:val="24"/>
              </w:rPr>
              <w:t>Priemonė</w:t>
            </w:r>
            <w:r>
              <w:rPr>
                <w:szCs w:val="24"/>
              </w:rPr>
              <w:t xml:space="preserve"> įgyvendinama etapais, todėl tobulinti nebuvo poreikio.</w:t>
            </w:r>
          </w:p>
        </w:tc>
      </w:tr>
      <w:tr w:rsidR="00462B39" w:rsidRPr="00462B39" w14:paraId="7516170F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6E083247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B7DC980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33A80925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50739B85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E22174D" w14:textId="55EC0B41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452CC46E" w14:textId="77777777" w:rsidR="00462B39" w:rsidRPr="00462B39" w:rsidRDefault="00462B39" w:rsidP="00462B39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7CE4EAF1" w14:textId="213D8EC5" w:rsidR="00462B39" w:rsidRPr="0021153F" w:rsidRDefault="0021153F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Priemonę numatyta tęsti nuolat.</w:t>
            </w:r>
          </w:p>
        </w:tc>
      </w:tr>
      <w:tr w:rsidR="00462B39" w:rsidRPr="00462B39" w14:paraId="627A8D61" w14:textId="77777777" w:rsidTr="00097EA1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69373A18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06BC9C64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0CC84A80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7ADEBD61" w14:textId="77777777" w:rsidR="00462B39" w:rsidRPr="00462B39" w:rsidRDefault="00462B39" w:rsidP="00462B39">
            <w:pPr>
              <w:spacing w:after="0" w:line="240" w:lineRule="auto"/>
              <w:ind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4E142ADF" w14:textId="242512CC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6178842E" w14:textId="6C1ED0EB" w:rsidR="00462B39" w:rsidRPr="00462B39" w:rsidRDefault="0021153F" w:rsidP="00462B39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</w:t>
            </w:r>
          </w:p>
          <w:p w14:paraId="76BD97EE" w14:textId="179C0E68" w:rsidR="00462B39" w:rsidRPr="0021153F" w:rsidRDefault="0021153F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Manytina, kad techniniai sprendiniai, pritaikant darbo vietas asmenims su negalia ar</w:t>
            </w:r>
            <w:r w:rsidR="00CE39D5">
              <w:rPr>
                <w:szCs w:val="24"/>
              </w:rPr>
              <w:t xml:space="preserve"> su</w:t>
            </w:r>
            <w:r>
              <w:rPr>
                <w:szCs w:val="24"/>
              </w:rPr>
              <w:t xml:space="preserve"> įvairiomis kitomis sveikatos būklėmis, turėtų būti kiekvienos organizacijos įprasta praktika.</w:t>
            </w:r>
          </w:p>
        </w:tc>
      </w:tr>
      <w:tr w:rsidR="00462B39" w:rsidRPr="00462B39" w14:paraId="179ABA3B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</w:tcPr>
          <w:p w14:paraId="7F50D539" w14:textId="4C88B365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  <w:r w:rsidRPr="00462B39">
              <w:rPr>
                <w:szCs w:val="24"/>
              </w:rPr>
              <w:t>9.</w:t>
            </w:r>
          </w:p>
        </w:tc>
        <w:tc>
          <w:tcPr>
            <w:tcW w:w="2374" w:type="dxa"/>
            <w:vMerge w:val="restart"/>
          </w:tcPr>
          <w:p w14:paraId="5B10F619" w14:textId="5A8CB283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Įvertinti lygių galimybių veiksmų plano priemonių vykdymo rezultatus, informaciją skelbti Savivaldybės interneto svetainėje</w:t>
            </w:r>
          </w:p>
        </w:tc>
        <w:tc>
          <w:tcPr>
            <w:tcW w:w="1906" w:type="dxa"/>
            <w:vMerge w:val="restart"/>
          </w:tcPr>
          <w:p w14:paraId="34BE09CE" w14:textId="7A401A2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Darbuotojas, atsakingas už lygių galimybių, moterų ir vyrų lygių galimybių įstatymų įgyvendinimą, stebėseną, koordinavimą ir atlikimą</w:t>
            </w:r>
          </w:p>
        </w:tc>
        <w:tc>
          <w:tcPr>
            <w:tcW w:w="2046" w:type="dxa"/>
            <w:vMerge w:val="restart"/>
          </w:tcPr>
          <w:p w14:paraId="798AECD0" w14:textId="61582102" w:rsidR="00462B39" w:rsidRPr="00462B39" w:rsidRDefault="00462B39" w:rsidP="00462B39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Atliktas lygių galimybių veiksmų plano priemonių vykdymo vertinimas, informacija už kiekvienus einamuosius metus paskelbta Savivaldybės interneto svetainėje.</w:t>
            </w:r>
          </w:p>
        </w:tc>
        <w:tc>
          <w:tcPr>
            <w:tcW w:w="2113" w:type="dxa"/>
          </w:tcPr>
          <w:p w14:paraId="61ABE49E" w14:textId="27CA0F7F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 xml:space="preserve">Ar priemonė </w:t>
            </w:r>
            <w:r w:rsidRPr="00462B39">
              <w:rPr>
                <w:szCs w:val="24"/>
              </w:rPr>
              <w:tab/>
              <w:t>buvo įgyvendinta?</w:t>
            </w:r>
          </w:p>
        </w:tc>
        <w:tc>
          <w:tcPr>
            <w:tcW w:w="6063" w:type="dxa"/>
          </w:tcPr>
          <w:p w14:paraId="6773B8D8" w14:textId="77777777" w:rsidR="00462B39" w:rsidRPr="00462B39" w:rsidRDefault="00462B39" w:rsidP="00462B39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3F483C1B" w14:textId="77777777" w:rsidR="00462B39" w:rsidRDefault="00253997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53997">
              <w:rPr>
                <w:szCs w:val="24"/>
              </w:rPr>
              <w:t>Administracijoje nuolat vykdoma lygių galimybių stebėsena, renkama statistika, rengiama informacija lygių galimybių ir lyčių lygybės politikų temomis.</w:t>
            </w:r>
          </w:p>
          <w:p w14:paraId="1A6E6162" w14:textId="5B82DC74" w:rsidR="00253997" w:rsidRPr="00253997" w:rsidRDefault="00253997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Pagal Lygių galimybių veiksmų planą, atlikta darbuotojų apklaus</w:t>
            </w:r>
            <w:r w:rsidR="00CE39D5">
              <w:rPr>
                <w:szCs w:val="24"/>
              </w:rPr>
              <w:t>a</w:t>
            </w:r>
            <w:r>
              <w:rPr>
                <w:szCs w:val="24"/>
              </w:rPr>
              <w:t>, siekiant gauti informaciją apie įgyvendintas priemones ir siūlymus ateičiai.</w:t>
            </w:r>
          </w:p>
        </w:tc>
      </w:tr>
      <w:tr w:rsidR="00462B39" w:rsidRPr="00462B39" w14:paraId="13643936" w14:textId="77777777" w:rsidTr="00097EA1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25E723CE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2F555C6B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78C752C1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11BEA6CF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5A120DDE" w14:textId="4BCEF909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turėjo tokį poveikį, kurio buvo siekiama?</w:t>
            </w:r>
          </w:p>
        </w:tc>
        <w:tc>
          <w:tcPr>
            <w:tcW w:w="6063" w:type="dxa"/>
          </w:tcPr>
          <w:p w14:paraId="12EC9C43" w14:textId="77777777" w:rsidR="00462B39" w:rsidRDefault="00462B39" w:rsidP="00253997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01AAE01C" w14:textId="28D0736E" w:rsidR="00253997" w:rsidRPr="00B574F9" w:rsidRDefault="00B574F9" w:rsidP="00B574F9">
            <w:pPr>
              <w:spacing w:after="0" w:line="240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Daugiau nei 50 proc., Administracijos darbuotojų, įsitraukusių į lygių galimybių srities mokymus ir veiklas, pakeitė požiūrį į lygių galimybių ir lyčių lygybės temą, sustiprino įgūdžius atpažįstant diskriminacijos epizodus.</w:t>
            </w:r>
          </w:p>
        </w:tc>
      </w:tr>
      <w:tr w:rsidR="00462B39" w:rsidRPr="00462B39" w14:paraId="72203936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06F39873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4A2C375D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1D54BE7C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571C4A67" w14:textId="77777777" w:rsidR="00462B39" w:rsidRPr="00462B39" w:rsidRDefault="00462B39" w:rsidP="00462B39">
            <w:pPr>
              <w:spacing w:after="0" w:line="240" w:lineRule="auto"/>
              <w:ind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35F2376" w14:textId="2DA9AA02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buvo tobulinta?</w:t>
            </w:r>
          </w:p>
        </w:tc>
        <w:tc>
          <w:tcPr>
            <w:tcW w:w="6063" w:type="dxa"/>
          </w:tcPr>
          <w:p w14:paraId="0B480A10" w14:textId="77777777" w:rsidR="00462B39" w:rsidRDefault="00111EC3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</w:t>
            </w:r>
          </w:p>
          <w:p w14:paraId="23E0621A" w14:textId="1E7E4DF6" w:rsidR="00B574F9" w:rsidRPr="00B574F9" w:rsidRDefault="00B574F9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74F9">
              <w:rPr>
                <w:szCs w:val="24"/>
              </w:rPr>
              <w:t>Poreikio tobulinti nebuvo, nes priemonės vykdomos pirmą kartą.</w:t>
            </w:r>
          </w:p>
        </w:tc>
      </w:tr>
      <w:tr w:rsidR="00462B39" w:rsidRPr="00462B39" w14:paraId="20D5129A" w14:textId="77777777" w:rsidTr="00097EA1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593FCE8B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7FE38322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562AAAFB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3DEE544C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B24BDC6" w14:textId="3A14C660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buvo numatytas priemonės tęstinumas?</w:t>
            </w:r>
          </w:p>
        </w:tc>
        <w:tc>
          <w:tcPr>
            <w:tcW w:w="6063" w:type="dxa"/>
          </w:tcPr>
          <w:p w14:paraId="645430C8" w14:textId="77777777" w:rsidR="00462B39" w:rsidRPr="00462B39" w:rsidRDefault="00462B39" w:rsidP="00462B39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4B9150C9" w14:textId="4F8FBF50" w:rsidR="00462B39" w:rsidRPr="00B574F9" w:rsidRDefault="00B574F9" w:rsidP="00C436D2">
            <w:pPr>
              <w:spacing w:after="0" w:line="240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574F9">
              <w:rPr>
                <w:szCs w:val="24"/>
              </w:rPr>
              <w:t>Lygių galimybių ir lyčių lygybės užtikrinimo priemonės bus tęsiamos nuolat, priemonių planas pildomas ir atnaujinamas.</w:t>
            </w:r>
          </w:p>
        </w:tc>
      </w:tr>
      <w:tr w:rsidR="00462B39" w:rsidRPr="00462B39" w14:paraId="573AA174" w14:textId="77777777" w:rsidTr="00097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</w:tcPr>
          <w:p w14:paraId="6A0255A0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</w:tcPr>
          <w:p w14:paraId="769BBD34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06" w:type="dxa"/>
            <w:vMerge/>
          </w:tcPr>
          <w:p w14:paraId="4FB66B2D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46" w:type="dxa"/>
            <w:vMerge/>
          </w:tcPr>
          <w:p w14:paraId="243A7DC8" w14:textId="77777777" w:rsidR="00462B39" w:rsidRPr="00462B39" w:rsidRDefault="00462B39" w:rsidP="00C436D2">
            <w:pPr>
              <w:spacing w:after="0" w:line="240" w:lineRule="auto"/>
              <w:ind w:left="3" w:righ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13" w:type="dxa"/>
          </w:tcPr>
          <w:p w14:paraId="72F832BA" w14:textId="18162A46" w:rsidR="00462B39" w:rsidRPr="00462B39" w:rsidRDefault="00462B39" w:rsidP="00C436D2">
            <w:pPr>
              <w:spacing w:after="0" w:line="240" w:lineRule="auto"/>
              <w:ind w:left="3" w:right="5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2B39">
              <w:rPr>
                <w:szCs w:val="24"/>
              </w:rPr>
              <w:t>Ar priemonė galėtų būti pateikiama kaip gerosios praktikos pavyzdys kitoms savivaldybėms?</w:t>
            </w:r>
          </w:p>
        </w:tc>
        <w:tc>
          <w:tcPr>
            <w:tcW w:w="6063" w:type="dxa"/>
          </w:tcPr>
          <w:p w14:paraId="0CE04EC9" w14:textId="77777777" w:rsidR="00462B39" w:rsidRPr="00462B39" w:rsidRDefault="00462B39" w:rsidP="00462B39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462B39">
              <w:rPr>
                <w:b/>
                <w:bCs/>
                <w:szCs w:val="24"/>
              </w:rPr>
              <w:t>Taip</w:t>
            </w:r>
          </w:p>
          <w:p w14:paraId="36BEF7F1" w14:textId="3B7D28BB" w:rsidR="00462B39" w:rsidRPr="00462B39" w:rsidRDefault="00B574F9" w:rsidP="00C436D2">
            <w:pPr>
              <w:spacing w:after="0" w:line="240" w:lineRule="auto"/>
              <w:ind w:left="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>
              <w:t>Galėtų, jei lygių galimybių veiksmų plano rezultatai nebuvo viešinami ir skelbiami interneto svetainėje.</w:t>
            </w:r>
          </w:p>
        </w:tc>
      </w:tr>
    </w:tbl>
    <w:p w14:paraId="03A27006" w14:textId="77777777" w:rsidR="00462B39" w:rsidRDefault="00462B39" w:rsidP="00462B39">
      <w:pPr>
        <w:spacing w:after="0" w:line="240" w:lineRule="auto"/>
        <w:ind w:right="13096" w:firstLine="0"/>
      </w:pPr>
    </w:p>
    <w:p w14:paraId="1B1BFC6F" w14:textId="6E1A2DD4" w:rsidR="00462B39" w:rsidRDefault="00462B39" w:rsidP="00462B39">
      <w:pPr>
        <w:spacing w:after="0" w:line="240" w:lineRule="auto"/>
        <w:ind w:right="-31" w:firstLine="0"/>
        <w:jc w:val="center"/>
      </w:pPr>
      <w:r>
        <w:t>_______________________________________________</w:t>
      </w:r>
    </w:p>
    <w:sectPr w:rsidR="00462B39" w:rsidSect="00462B39">
      <w:headerReference w:type="default" r:id="rId10"/>
      <w:footerReference w:type="default" r:id="rId11"/>
      <w:pgSz w:w="16838" w:h="11906" w:orient="landscape"/>
      <w:pgMar w:top="1560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9CC4" w14:textId="77777777" w:rsidR="0042227F" w:rsidRDefault="0042227F" w:rsidP="00AC5A4B">
      <w:pPr>
        <w:spacing w:after="0" w:line="240" w:lineRule="auto"/>
      </w:pPr>
      <w:r>
        <w:separator/>
      </w:r>
    </w:p>
  </w:endnote>
  <w:endnote w:type="continuationSeparator" w:id="0">
    <w:p w14:paraId="3742C9C7" w14:textId="77777777" w:rsidR="0042227F" w:rsidRDefault="0042227F" w:rsidP="00AC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TimesLT">
    <w:altName w:val="Courier New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932231"/>
      <w:docPartObj>
        <w:docPartGallery w:val="Page Numbers (Bottom of Page)"/>
        <w:docPartUnique/>
      </w:docPartObj>
    </w:sdtPr>
    <w:sdtEndPr/>
    <w:sdtContent>
      <w:p w14:paraId="48D92BE4" w14:textId="3551AEA1" w:rsidR="00462B39" w:rsidRDefault="00462B39" w:rsidP="00462B3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5C7F" w14:textId="77777777" w:rsidR="0042227F" w:rsidRDefault="0042227F" w:rsidP="00AC5A4B">
      <w:pPr>
        <w:spacing w:after="0" w:line="240" w:lineRule="auto"/>
      </w:pPr>
      <w:r>
        <w:separator/>
      </w:r>
    </w:p>
  </w:footnote>
  <w:footnote w:type="continuationSeparator" w:id="0">
    <w:p w14:paraId="3B2BE31E" w14:textId="77777777" w:rsidR="0042227F" w:rsidRDefault="0042227F" w:rsidP="00AC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4E63" w14:textId="1EBADD59" w:rsidR="00AC5A4B" w:rsidRDefault="00AC5A4B">
    <w:pPr>
      <w:pStyle w:val="Antrats"/>
      <w:jc w:val="center"/>
    </w:pPr>
  </w:p>
  <w:p w14:paraId="1C0CE3BE" w14:textId="77777777" w:rsidR="00AC5A4B" w:rsidRDefault="00AC5A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E15"/>
    <w:multiLevelType w:val="hybridMultilevel"/>
    <w:tmpl w:val="27369016"/>
    <w:lvl w:ilvl="0" w:tplc="483C95AE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0433A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C3CAC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6ECE4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47F36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C1AF4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2D828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E03A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5E6E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50560"/>
    <w:multiLevelType w:val="multilevel"/>
    <w:tmpl w:val="60F27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8127427">
    <w:abstractNumId w:val="0"/>
  </w:num>
  <w:num w:numId="2" w16cid:durableId="50917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3D"/>
    <w:rsid w:val="00003282"/>
    <w:rsid w:val="00011DAF"/>
    <w:rsid w:val="0001431C"/>
    <w:rsid w:val="00016BFA"/>
    <w:rsid w:val="00016E25"/>
    <w:rsid w:val="00020411"/>
    <w:rsid w:val="0002327C"/>
    <w:rsid w:val="00024D71"/>
    <w:rsid w:val="00036B06"/>
    <w:rsid w:val="000371DB"/>
    <w:rsid w:val="00046F84"/>
    <w:rsid w:val="0005618B"/>
    <w:rsid w:val="00064B3D"/>
    <w:rsid w:val="0006661B"/>
    <w:rsid w:val="000668FD"/>
    <w:rsid w:val="00066AA9"/>
    <w:rsid w:val="00080AD8"/>
    <w:rsid w:val="00082C3A"/>
    <w:rsid w:val="00097EA1"/>
    <w:rsid w:val="000B3D18"/>
    <w:rsid w:val="000B5DBC"/>
    <w:rsid w:val="000C2A24"/>
    <w:rsid w:val="000C60B6"/>
    <w:rsid w:val="000C6901"/>
    <w:rsid w:val="000D1DF1"/>
    <w:rsid w:val="000D320A"/>
    <w:rsid w:val="000D5140"/>
    <w:rsid w:val="000E075D"/>
    <w:rsid w:val="000E18B4"/>
    <w:rsid w:val="000E1F05"/>
    <w:rsid w:val="000E6D4F"/>
    <w:rsid w:val="00111EC3"/>
    <w:rsid w:val="00116FF3"/>
    <w:rsid w:val="00134426"/>
    <w:rsid w:val="00137D56"/>
    <w:rsid w:val="001442EB"/>
    <w:rsid w:val="0015177C"/>
    <w:rsid w:val="00154C06"/>
    <w:rsid w:val="001569AA"/>
    <w:rsid w:val="001574EF"/>
    <w:rsid w:val="00160574"/>
    <w:rsid w:val="001747EB"/>
    <w:rsid w:val="00176464"/>
    <w:rsid w:val="00195912"/>
    <w:rsid w:val="001A2E4A"/>
    <w:rsid w:val="001A31A2"/>
    <w:rsid w:val="001B4A65"/>
    <w:rsid w:val="001B5277"/>
    <w:rsid w:val="001C081B"/>
    <w:rsid w:val="001C7657"/>
    <w:rsid w:val="001D089D"/>
    <w:rsid w:val="001D16C7"/>
    <w:rsid w:val="001E1145"/>
    <w:rsid w:val="001E3523"/>
    <w:rsid w:val="001E530D"/>
    <w:rsid w:val="0021153F"/>
    <w:rsid w:val="002179AB"/>
    <w:rsid w:val="00217F73"/>
    <w:rsid w:val="00221E56"/>
    <w:rsid w:val="00222F4E"/>
    <w:rsid w:val="0023163D"/>
    <w:rsid w:val="00233C90"/>
    <w:rsid w:val="00235F64"/>
    <w:rsid w:val="002378A8"/>
    <w:rsid w:val="0024705F"/>
    <w:rsid w:val="00253997"/>
    <w:rsid w:val="00260B8A"/>
    <w:rsid w:val="002635CB"/>
    <w:rsid w:val="00264DB7"/>
    <w:rsid w:val="00265CFC"/>
    <w:rsid w:val="002741F0"/>
    <w:rsid w:val="002814DF"/>
    <w:rsid w:val="002822FD"/>
    <w:rsid w:val="00283877"/>
    <w:rsid w:val="00285783"/>
    <w:rsid w:val="00291FEE"/>
    <w:rsid w:val="002A0852"/>
    <w:rsid w:val="002A1186"/>
    <w:rsid w:val="002A1ABA"/>
    <w:rsid w:val="002B12A7"/>
    <w:rsid w:val="002B73A1"/>
    <w:rsid w:val="002C0DB2"/>
    <w:rsid w:val="002C1EEE"/>
    <w:rsid w:val="002C57A8"/>
    <w:rsid w:val="002F1A7B"/>
    <w:rsid w:val="002F68A0"/>
    <w:rsid w:val="002F778E"/>
    <w:rsid w:val="00306552"/>
    <w:rsid w:val="003153C4"/>
    <w:rsid w:val="00315AAD"/>
    <w:rsid w:val="00320CAB"/>
    <w:rsid w:val="00326652"/>
    <w:rsid w:val="00332D8C"/>
    <w:rsid w:val="00350A2B"/>
    <w:rsid w:val="00355E60"/>
    <w:rsid w:val="00357068"/>
    <w:rsid w:val="00360E68"/>
    <w:rsid w:val="003656B7"/>
    <w:rsid w:val="003835A1"/>
    <w:rsid w:val="00385D72"/>
    <w:rsid w:val="0039351E"/>
    <w:rsid w:val="003A1264"/>
    <w:rsid w:val="003A5797"/>
    <w:rsid w:val="003A60F6"/>
    <w:rsid w:val="003B5E36"/>
    <w:rsid w:val="003C5B0D"/>
    <w:rsid w:val="003D08E8"/>
    <w:rsid w:val="003D2A29"/>
    <w:rsid w:val="003D5132"/>
    <w:rsid w:val="003E38EF"/>
    <w:rsid w:val="003F0883"/>
    <w:rsid w:val="00400F98"/>
    <w:rsid w:val="00402856"/>
    <w:rsid w:val="00404471"/>
    <w:rsid w:val="004160AD"/>
    <w:rsid w:val="00417010"/>
    <w:rsid w:val="0042227F"/>
    <w:rsid w:val="0042689B"/>
    <w:rsid w:val="004317BE"/>
    <w:rsid w:val="00431A10"/>
    <w:rsid w:val="00437607"/>
    <w:rsid w:val="004433DA"/>
    <w:rsid w:val="004463F5"/>
    <w:rsid w:val="00454E2E"/>
    <w:rsid w:val="0045653A"/>
    <w:rsid w:val="00457437"/>
    <w:rsid w:val="00462B39"/>
    <w:rsid w:val="00466DEF"/>
    <w:rsid w:val="004838C2"/>
    <w:rsid w:val="00485970"/>
    <w:rsid w:val="00487B32"/>
    <w:rsid w:val="0049290E"/>
    <w:rsid w:val="00494DD7"/>
    <w:rsid w:val="00496CE4"/>
    <w:rsid w:val="004A5473"/>
    <w:rsid w:val="004B2DFF"/>
    <w:rsid w:val="004B6FB8"/>
    <w:rsid w:val="004E1545"/>
    <w:rsid w:val="004E4B3A"/>
    <w:rsid w:val="004F5509"/>
    <w:rsid w:val="00505A7A"/>
    <w:rsid w:val="005139FD"/>
    <w:rsid w:val="00516D14"/>
    <w:rsid w:val="00522977"/>
    <w:rsid w:val="00526759"/>
    <w:rsid w:val="00541661"/>
    <w:rsid w:val="00544402"/>
    <w:rsid w:val="0056427E"/>
    <w:rsid w:val="00571BD0"/>
    <w:rsid w:val="00575AA1"/>
    <w:rsid w:val="00580EC1"/>
    <w:rsid w:val="0058113F"/>
    <w:rsid w:val="00581BE9"/>
    <w:rsid w:val="00584292"/>
    <w:rsid w:val="00593D0F"/>
    <w:rsid w:val="005A3D7A"/>
    <w:rsid w:val="005C2DB6"/>
    <w:rsid w:val="005D168F"/>
    <w:rsid w:val="005D73D6"/>
    <w:rsid w:val="005E04A2"/>
    <w:rsid w:val="005E6E51"/>
    <w:rsid w:val="00603DA3"/>
    <w:rsid w:val="00610269"/>
    <w:rsid w:val="006146DB"/>
    <w:rsid w:val="006276DF"/>
    <w:rsid w:val="00635B5E"/>
    <w:rsid w:val="00643580"/>
    <w:rsid w:val="00643C96"/>
    <w:rsid w:val="00652C7E"/>
    <w:rsid w:val="00667262"/>
    <w:rsid w:val="006764AF"/>
    <w:rsid w:val="006839AB"/>
    <w:rsid w:val="006863F2"/>
    <w:rsid w:val="00694383"/>
    <w:rsid w:val="006A19D8"/>
    <w:rsid w:val="006A4F9C"/>
    <w:rsid w:val="006B0252"/>
    <w:rsid w:val="006B56B3"/>
    <w:rsid w:val="006C4CE1"/>
    <w:rsid w:val="006D39D4"/>
    <w:rsid w:val="006E328E"/>
    <w:rsid w:val="006F3D99"/>
    <w:rsid w:val="007040AE"/>
    <w:rsid w:val="0071327D"/>
    <w:rsid w:val="007139B8"/>
    <w:rsid w:val="00714F62"/>
    <w:rsid w:val="00715BBC"/>
    <w:rsid w:val="00731FEE"/>
    <w:rsid w:val="00733728"/>
    <w:rsid w:val="00733A88"/>
    <w:rsid w:val="00737E60"/>
    <w:rsid w:val="00747395"/>
    <w:rsid w:val="00751DC5"/>
    <w:rsid w:val="00754A9D"/>
    <w:rsid w:val="007777FD"/>
    <w:rsid w:val="00781F24"/>
    <w:rsid w:val="007912BB"/>
    <w:rsid w:val="00795A86"/>
    <w:rsid w:val="007A09D0"/>
    <w:rsid w:val="007A0B21"/>
    <w:rsid w:val="007B2568"/>
    <w:rsid w:val="007B4475"/>
    <w:rsid w:val="007D2E60"/>
    <w:rsid w:val="007D385E"/>
    <w:rsid w:val="007E4C47"/>
    <w:rsid w:val="007F5C39"/>
    <w:rsid w:val="0080235F"/>
    <w:rsid w:val="00804A29"/>
    <w:rsid w:val="00810A4A"/>
    <w:rsid w:val="00814280"/>
    <w:rsid w:val="00816351"/>
    <w:rsid w:val="00816D2E"/>
    <w:rsid w:val="0082435E"/>
    <w:rsid w:val="008310E3"/>
    <w:rsid w:val="008359D4"/>
    <w:rsid w:val="00842154"/>
    <w:rsid w:val="008450E8"/>
    <w:rsid w:val="00855B27"/>
    <w:rsid w:val="00860D5E"/>
    <w:rsid w:val="008626F0"/>
    <w:rsid w:val="00864809"/>
    <w:rsid w:val="00865726"/>
    <w:rsid w:val="00867E2F"/>
    <w:rsid w:val="00893A57"/>
    <w:rsid w:val="008A05EB"/>
    <w:rsid w:val="008A2CBF"/>
    <w:rsid w:val="008B2A82"/>
    <w:rsid w:val="008C5236"/>
    <w:rsid w:val="008E3029"/>
    <w:rsid w:val="008E42DD"/>
    <w:rsid w:val="0090119F"/>
    <w:rsid w:val="00907743"/>
    <w:rsid w:val="0091173B"/>
    <w:rsid w:val="0091376B"/>
    <w:rsid w:val="009141E9"/>
    <w:rsid w:val="00920F6C"/>
    <w:rsid w:val="00924A53"/>
    <w:rsid w:val="00954AC7"/>
    <w:rsid w:val="00964898"/>
    <w:rsid w:val="009730AE"/>
    <w:rsid w:val="009748B5"/>
    <w:rsid w:val="009817E5"/>
    <w:rsid w:val="009943A3"/>
    <w:rsid w:val="00996FCF"/>
    <w:rsid w:val="009A1A08"/>
    <w:rsid w:val="009B2FD2"/>
    <w:rsid w:val="009B6492"/>
    <w:rsid w:val="009C5533"/>
    <w:rsid w:val="009D7996"/>
    <w:rsid w:val="009E21DF"/>
    <w:rsid w:val="009E36B9"/>
    <w:rsid w:val="009F0904"/>
    <w:rsid w:val="009F0A77"/>
    <w:rsid w:val="00A06EB4"/>
    <w:rsid w:val="00A10FCE"/>
    <w:rsid w:val="00A13E2B"/>
    <w:rsid w:val="00A2169E"/>
    <w:rsid w:val="00A2460E"/>
    <w:rsid w:val="00A249CC"/>
    <w:rsid w:val="00A30CD7"/>
    <w:rsid w:val="00A36AAA"/>
    <w:rsid w:val="00A40909"/>
    <w:rsid w:val="00A6111A"/>
    <w:rsid w:val="00A74E79"/>
    <w:rsid w:val="00A8507E"/>
    <w:rsid w:val="00A91881"/>
    <w:rsid w:val="00A933BD"/>
    <w:rsid w:val="00AC1B1F"/>
    <w:rsid w:val="00AC3AC0"/>
    <w:rsid w:val="00AC3E69"/>
    <w:rsid w:val="00AC5A4B"/>
    <w:rsid w:val="00AC5E9D"/>
    <w:rsid w:val="00AD184C"/>
    <w:rsid w:val="00AD790C"/>
    <w:rsid w:val="00AE5C3C"/>
    <w:rsid w:val="00AE641C"/>
    <w:rsid w:val="00AF72CB"/>
    <w:rsid w:val="00B109F8"/>
    <w:rsid w:val="00B2596A"/>
    <w:rsid w:val="00B445EE"/>
    <w:rsid w:val="00B46AAE"/>
    <w:rsid w:val="00B50253"/>
    <w:rsid w:val="00B533DA"/>
    <w:rsid w:val="00B574F9"/>
    <w:rsid w:val="00B82DE1"/>
    <w:rsid w:val="00B84F59"/>
    <w:rsid w:val="00BA2048"/>
    <w:rsid w:val="00BA6EF1"/>
    <w:rsid w:val="00BB3E59"/>
    <w:rsid w:val="00BC2BDC"/>
    <w:rsid w:val="00BC703D"/>
    <w:rsid w:val="00BC788A"/>
    <w:rsid w:val="00BD31E5"/>
    <w:rsid w:val="00BF0A92"/>
    <w:rsid w:val="00BF4BEB"/>
    <w:rsid w:val="00C0796E"/>
    <w:rsid w:val="00C12D32"/>
    <w:rsid w:val="00C13835"/>
    <w:rsid w:val="00C16712"/>
    <w:rsid w:val="00C23582"/>
    <w:rsid w:val="00C3216A"/>
    <w:rsid w:val="00C324F6"/>
    <w:rsid w:val="00C4253B"/>
    <w:rsid w:val="00C436D2"/>
    <w:rsid w:val="00C4619D"/>
    <w:rsid w:val="00C475C7"/>
    <w:rsid w:val="00C52E90"/>
    <w:rsid w:val="00C65A9B"/>
    <w:rsid w:val="00C7744D"/>
    <w:rsid w:val="00C84FFA"/>
    <w:rsid w:val="00C92C76"/>
    <w:rsid w:val="00C971FD"/>
    <w:rsid w:val="00CC33FD"/>
    <w:rsid w:val="00CD3E9B"/>
    <w:rsid w:val="00CE39D5"/>
    <w:rsid w:val="00CF1EF7"/>
    <w:rsid w:val="00CF287D"/>
    <w:rsid w:val="00CF68F5"/>
    <w:rsid w:val="00D162E0"/>
    <w:rsid w:val="00D17F47"/>
    <w:rsid w:val="00D251A7"/>
    <w:rsid w:val="00D3602C"/>
    <w:rsid w:val="00D40FC7"/>
    <w:rsid w:val="00D86D08"/>
    <w:rsid w:val="00D9010E"/>
    <w:rsid w:val="00DB083B"/>
    <w:rsid w:val="00DC65F2"/>
    <w:rsid w:val="00E12A0B"/>
    <w:rsid w:val="00E14DC1"/>
    <w:rsid w:val="00E32016"/>
    <w:rsid w:val="00E32CC7"/>
    <w:rsid w:val="00E37818"/>
    <w:rsid w:val="00E41FE5"/>
    <w:rsid w:val="00E461C2"/>
    <w:rsid w:val="00E543D4"/>
    <w:rsid w:val="00E57101"/>
    <w:rsid w:val="00E5783E"/>
    <w:rsid w:val="00E6254B"/>
    <w:rsid w:val="00E664FB"/>
    <w:rsid w:val="00E95171"/>
    <w:rsid w:val="00EB1213"/>
    <w:rsid w:val="00EB5D6C"/>
    <w:rsid w:val="00EC1DDA"/>
    <w:rsid w:val="00ED4977"/>
    <w:rsid w:val="00ED7E02"/>
    <w:rsid w:val="00EE7D6E"/>
    <w:rsid w:val="00EF59FA"/>
    <w:rsid w:val="00F02D59"/>
    <w:rsid w:val="00F14156"/>
    <w:rsid w:val="00F219D8"/>
    <w:rsid w:val="00F26043"/>
    <w:rsid w:val="00F33790"/>
    <w:rsid w:val="00F36019"/>
    <w:rsid w:val="00F51A8F"/>
    <w:rsid w:val="00F55748"/>
    <w:rsid w:val="00F61612"/>
    <w:rsid w:val="00F648C0"/>
    <w:rsid w:val="00F72C3E"/>
    <w:rsid w:val="00F74485"/>
    <w:rsid w:val="00F86224"/>
    <w:rsid w:val="00F95B23"/>
    <w:rsid w:val="00F97624"/>
    <w:rsid w:val="00FC1A05"/>
    <w:rsid w:val="00FC34C8"/>
    <w:rsid w:val="00FC368C"/>
    <w:rsid w:val="00FE7780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7EC0"/>
  <w15:chartTrackingRefBased/>
  <w15:docId w15:val="{99A8DCFC-3751-4C48-88DA-AD38BFB6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1DDA"/>
    <w:pPr>
      <w:spacing w:after="9" w:line="269" w:lineRule="auto"/>
      <w:ind w:right="7" w:firstLine="842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EC1DDA"/>
    <w:pPr>
      <w:keepNext/>
      <w:keepLines/>
      <w:spacing w:after="10" w:line="249" w:lineRule="auto"/>
      <w:ind w:left="471" w:right="40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C1DDA"/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table" w:customStyle="1" w:styleId="TableGrid">
    <w:name w:val="TableGrid"/>
    <w:rsid w:val="00EC1DDA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1442EB"/>
    <w:pPr>
      <w:spacing w:after="0" w:line="240" w:lineRule="auto"/>
      <w:ind w:left="72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144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924A53"/>
    <w:rPr>
      <w:i/>
      <w:i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378A8"/>
    <w:pPr>
      <w:spacing w:after="0" w:line="240" w:lineRule="auto"/>
      <w:ind w:righ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378A8"/>
    <w:rPr>
      <w:rFonts w:ascii="Calibri" w:hAnsi="Calibri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AC5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A4B"/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C5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A4B"/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5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5B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5B23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5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5B23"/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B23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customStyle="1" w:styleId="fontstyle01">
    <w:name w:val="fontstyle01"/>
    <w:basedOn w:val="Numatytasispastraiposriftas"/>
    <w:rsid w:val="00593D0F"/>
    <w:rPr>
      <w:rFonts w:ascii="LiberationSerif" w:hAnsi="LiberationSerif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Pagrindinistekstas1">
    <w:name w:val="Pagrindinis tekstas1"/>
    <w:rsid w:val="00C2358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49290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Betarp">
    <w:name w:val="No Spacing"/>
    <w:uiPriority w:val="1"/>
    <w:qFormat/>
    <w:rsid w:val="00400F98"/>
    <w:pPr>
      <w:spacing w:after="0" w:line="240" w:lineRule="auto"/>
      <w:ind w:right="7" w:firstLine="842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51A8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1A8F"/>
    <w:rPr>
      <w:color w:val="605E5C"/>
      <w:shd w:val="clear" w:color="auto" w:fill="E1DFDD"/>
    </w:rPr>
  </w:style>
  <w:style w:type="table" w:styleId="1paprastojilentel">
    <w:name w:val="Plain Table 1"/>
    <w:basedOn w:val="prastojilentel"/>
    <w:uiPriority w:val="41"/>
    <w:rsid w:val="00C12D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kymai.lygiadieniai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0cf0fc308ea211eea5a28c81c82193a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9FE8-8CF4-4CE5-A4A2-94A775F3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Masalskienė</dc:creator>
  <cp:lastModifiedBy>Rita Kasparavičiūtė</cp:lastModifiedBy>
  <cp:revision>12</cp:revision>
  <cp:lastPrinted>2022-09-22T13:15:00Z</cp:lastPrinted>
  <dcterms:created xsi:type="dcterms:W3CDTF">2026-03-03T13:35:00Z</dcterms:created>
  <dcterms:modified xsi:type="dcterms:W3CDTF">2026-03-04T19:37:00Z</dcterms:modified>
</cp:coreProperties>
</file>